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
          <w:bCs/>
          <w:sz w:val="28"/>
          <w:szCs w:val="28"/>
          <w:lang w:eastAsia="ru-RU"/>
        </w:rPr>
      </w:pPr>
      <w:r w:rsidRPr="00950068">
        <w:rPr>
          <w:rFonts w:ascii="Times New Roman" w:eastAsia="Times New Roman" w:hAnsi="Times New Roman"/>
          <w:b/>
          <w:bCs/>
          <w:sz w:val="28"/>
          <w:szCs w:val="28"/>
          <w:lang w:eastAsia="ru-RU"/>
        </w:rPr>
        <w:t>Приложение 23</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к постановлению Администрации </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МО «</w:t>
      </w:r>
      <w:proofErr w:type="spellStart"/>
      <w:r w:rsidRPr="00950068">
        <w:rPr>
          <w:rFonts w:ascii="Times New Roman" w:eastAsia="Times New Roman" w:hAnsi="Times New Roman"/>
          <w:bCs/>
          <w:sz w:val="28"/>
          <w:szCs w:val="28"/>
          <w:lang w:eastAsia="ru-RU"/>
        </w:rPr>
        <w:t>Глазовский</w:t>
      </w:r>
      <w:proofErr w:type="spellEnd"/>
      <w:r w:rsidRPr="00950068">
        <w:rPr>
          <w:rFonts w:ascii="Times New Roman" w:eastAsia="Times New Roman" w:hAnsi="Times New Roman"/>
          <w:bCs/>
          <w:sz w:val="28"/>
          <w:szCs w:val="28"/>
          <w:lang w:eastAsia="ru-RU"/>
        </w:rPr>
        <w:t xml:space="preserve"> район»  </w:t>
      </w:r>
    </w:p>
    <w:p w:rsidR="0058337E" w:rsidRPr="00950068" w:rsidRDefault="0058337E" w:rsidP="0058337E">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№___ от 14 ноября 2014года</w:t>
      </w:r>
    </w:p>
    <w:p w:rsidR="00950068" w:rsidRPr="00950068" w:rsidRDefault="00950068" w:rsidP="0058337E">
      <w:pPr>
        <w:spacing w:after="0" w:line="240" w:lineRule="auto"/>
        <w:jc w:val="right"/>
        <w:rPr>
          <w:rFonts w:ascii="Times New Roman" w:eastAsia="Times New Roman" w:hAnsi="Times New Roman"/>
          <w:bCs/>
          <w:sz w:val="28"/>
          <w:szCs w:val="28"/>
          <w:lang w:eastAsia="ru-RU"/>
        </w:rPr>
      </w:pP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
          <w:bCs/>
          <w:sz w:val="28"/>
          <w:szCs w:val="28"/>
          <w:lang w:eastAsia="ru-RU"/>
        </w:rPr>
        <w:t xml:space="preserve">Утверждена: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Постановлением Администрации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МО «</w:t>
      </w:r>
      <w:proofErr w:type="spellStart"/>
      <w:r w:rsidRPr="00950068">
        <w:rPr>
          <w:rFonts w:ascii="Times New Roman" w:eastAsia="Times New Roman" w:hAnsi="Times New Roman"/>
          <w:bCs/>
          <w:sz w:val="28"/>
          <w:szCs w:val="28"/>
          <w:lang w:eastAsia="ru-RU"/>
        </w:rPr>
        <w:t>Глазовский</w:t>
      </w:r>
      <w:proofErr w:type="spellEnd"/>
      <w:r w:rsidRPr="00950068">
        <w:rPr>
          <w:rFonts w:ascii="Times New Roman" w:eastAsia="Times New Roman" w:hAnsi="Times New Roman"/>
          <w:bCs/>
          <w:sz w:val="28"/>
          <w:szCs w:val="28"/>
          <w:lang w:eastAsia="ru-RU"/>
        </w:rPr>
        <w:t xml:space="preserve"> район»  </w:t>
      </w: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bCs/>
          <w:sz w:val="28"/>
          <w:szCs w:val="28"/>
          <w:lang w:eastAsia="ru-RU"/>
        </w:rPr>
        <w:t>№___ от 14 ноября 2014года</w:t>
      </w:r>
      <w:r w:rsidRPr="00950068">
        <w:rPr>
          <w:rFonts w:ascii="Times New Roman" w:eastAsia="Times New Roman" w:hAnsi="Times New Roman"/>
          <w:bCs/>
          <w:sz w:val="24"/>
          <w:szCs w:val="20"/>
          <w:lang w:eastAsia="ru-RU"/>
        </w:rPr>
        <w:t xml:space="preserve"> </w:t>
      </w: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proofErr w:type="spellStart"/>
      <w:r>
        <w:rPr>
          <w:rFonts w:ascii="Times New Roman" w:hAnsi="Times New Roman"/>
          <w:color w:val="000000"/>
          <w:sz w:val="28"/>
          <w:szCs w:val="28"/>
        </w:rPr>
        <w:t>Глазовский</w:t>
      </w:r>
      <w:proofErr w:type="spellEnd"/>
      <w:r>
        <w:rPr>
          <w:rFonts w:ascii="Times New Roman" w:hAnsi="Times New Roman"/>
          <w:color w:val="000000"/>
          <w:sz w:val="28"/>
          <w:szCs w:val="28"/>
        </w:rPr>
        <w:t xml:space="preserve">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bookmarkStart w:id="0" w:name="_GoBack"/>
      <w:bookmarkEnd w:id="0"/>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1" w:name="Par34"/>
      <w:bookmarkEnd w:id="1"/>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09402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proofErr w:type="spellStart"/>
            <w:r w:rsidRPr="00EA4287">
              <w:rPr>
                <w:rFonts w:ascii="Times New Roman" w:hAnsi="Times New Roman"/>
                <w:bCs/>
                <w:sz w:val="24"/>
                <w:szCs w:val="24"/>
              </w:rPr>
              <w:t>Глазовский</w:t>
            </w:r>
            <w:proofErr w:type="spellEnd"/>
            <w:r w:rsidRPr="00EA4287">
              <w:rPr>
                <w:rFonts w:ascii="Times New Roman" w:hAnsi="Times New Roman"/>
                <w:bCs/>
                <w:sz w:val="24"/>
                <w:szCs w:val="24"/>
              </w:rPr>
              <w:t xml:space="preserve">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proofErr w:type="spellStart"/>
            <w:r w:rsidRPr="00EA4287">
              <w:rPr>
                <w:rFonts w:ascii="Times New Roman" w:hAnsi="Times New Roman"/>
                <w:sz w:val="24"/>
                <w:szCs w:val="24"/>
              </w:rPr>
              <w:t>Глазовский</w:t>
            </w:r>
            <w:proofErr w:type="spellEnd"/>
            <w:r w:rsidRPr="00EA4287">
              <w:rPr>
                <w:rFonts w:ascii="Times New Roman" w:hAnsi="Times New Roman"/>
                <w:sz w:val="24"/>
                <w:szCs w:val="24"/>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организация планирования и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кассового обслуживания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proofErr w:type="spellStart"/>
            <w:r w:rsidRPr="00EA4287">
              <w:rPr>
                <w:rFonts w:ascii="Times New Roman" w:hAnsi="Times New Roman"/>
                <w:sz w:val="24"/>
                <w:szCs w:val="24"/>
              </w:rPr>
              <w:t>Глазовсий</w:t>
            </w:r>
            <w:proofErr w:type="spellEnd"/>
            <w:r w:rsidRPr="00EA4287">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w:t>
            </w:r>
            <w:r w:rsidRPr="00EA4287">
              <w:rPr>
                <w:rFonts w:ascii="Times New Roman" w:hAnsi="Times New Roman"/>
                <w:color w:val="000000"/>
                <w:sz w:val="24"/>
                <w:szCs w:val="24"/>
              </w:rPr>
              <w:lastRenderedPageBreak/>
              <w:t>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Кассовое обслуживание исполнения расходной части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доходам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формируемых в рамках программ (муниципальных программ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программ, ведомственных целевых программ) в общем объеме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объему расходов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общему объему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расходам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Объем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муниципальной  подпрограммы за счет средств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составит 300593,9 тыс. рублей,   в том числе: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в 2015 году – 49507,9  тыс. рублей;</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50217,2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50217,2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50217,2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50217,2  тыс. рублей;                    </w:t>
            </w:r>
          </w:p>
          <w:p w:rsidR="000541AE" w:rsidRPr="00EA4287"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50217,2  тыс. рублей. </w:t>
            </w: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50 процентов к годовому объему доходов без учета безвозмездных поступлений).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(не более 10 процентов к общему объему предоставленных муниципальным образованием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11)Соблюдение ограничений по объему заимствований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формируемых в рамках программ (муниципальных, ведомственных целевых программ), в 2020 году составит 95,0 процента в </w:t>
            </w:r>
            <w:r w:rsidRPr="00EA4287">
              <w:rPr>
                <w:rFonts w:ascii="Times New Roman" w:hAnsi="Times New Roman"/>
              </w:rPr>
              <w:lastRenderedPageBreak/>
              <w:t>расходах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13)Доля межбюджетных трансфертов из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субвенций, а также субсидий, предоставленных на </w:t>
            </w:r>
            <w:proofErr w:type="spellStart"/>
            <w:r w:rsidRPr="00EA4287">
              <w:rPr>
                <w:rFonts w:ascii="Times New Roman" w:hAnsi="Times New Roman"/>
                <w:color w:val="000000"/>
              </w:rPr>
              <w:t>софинансирование</w:t>
            </w:r>
            <w:proofErr w:type="spellEnd"/>
            <w:r w:rsidRPr="00EA4287">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0E466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2" w:name="Par176"/>
      <w:bookmarkStart w:id="3" w:name="Par271"/>
      <w:bookmarkEnd w:id="2"/>
      <w:bookmarkEnd w:id="3"/>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постановлением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29 ноября </w:t>
      </w:r>
      <w:r w:rsidRPr="001277AD">
        <w:rPr>
          <w:rFonts w:ascii="Times New Roman" w:hAnsi="Times New Roman"/>
          <w:color w:val="000000"/>
          <w:sz w:val="24"/>
          <w:szCs w:val="24"/>
        </w:rPr>
        <w:t>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w:t>
      </w:r>
      <w:r>
        <w:rPr>
          <w:rFonts w:ascii="Times New Roman" w:hAnsi="Times New Roman"/>
          <w:sz w:val="24"/>
          <w:szCs w:val="24"/>
        </w:rPr>
        <w:t>.11.</w:t>
      </w:r>
      <w:r w:rsidRPr="001277AD">
        <w:rPr>
          <w:rFonts w:ascii="Times New Roman" w:hAnsi="Times New Roman"/>
          <w:sz w:val="24"/>
          <w:szCs w:val="24"/>
        </w:rPr>
        <w:t>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Бюджет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28 мая  2009 года № 338 </w:t>
      </w:r>
      <w:r w:rsidRPr="001277AD">
        <w:rPr>
          <w:rFonts w:ascii="Times New Roman" w:hAnsi="Times New Roman"/>
          <w:sz w:val="24"/>
          <w:szCs w:val="24"/>
        </w:rPr>
        <w:t>(в ред. решения от 29.10.2009 № 372, 30.09.2010 № 442, 17.11.2011 №525)</w:t>
      </w:r>
      <w:r w:rsidRPr="001277AD">
        <w:rPr>
          <w:rFonts w:ascii="Times New Roman" w:hAnsi="Times New Roman"/>
          <w:color w:val="000000"/>
          <w:sz w:val="24"/>
          <w:szCs w:val="24"/>
        </w:rPr>
        <w:t>,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w:t>
      </w:r>
      <w:proofErr w:type="gramEnd"/>
      <w:r w:rsidRPr="001277AD">
        <w:rPr>
          <w:rFonts w:ascii="Times New Roman" w:hAnsi="Times New Roman"/>
          <w:color w:val="000000"/>
          <w:sz w:val="24"/>
          <w:szCs w:val="24"/>
        </w:rPr>
        <w:t xml:space="preserve">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 xml:space="preserve">Целью подпрограммы является финансовое обеспечение исполнения расходных </w:t>
      </w:r>
      <w:r w:rsidRPr="00A10752">
        <w:rPr>
          <w:rFonts w:ascii="Times New Roman" w:hAnsi="Times New Roman"/>
          <w:sz w:val="24"/>
          <w:szCs w:val="24"/>
        </w:rPr>
        <w:lastRenderedPageBreak/>
        <w:t>обязательств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rPr>
        <w:t xml:space="preserve">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proofErr w:type="spellStart"/>
      <w:r>
        <w:rPr>
          <w:rFonts w:ascii="Times New Roman" w:hAnsi="Times New Roman"/>
          <w:sz w:val="24"/>
          <w:szCs w:val="24"/>
        </w:rPr>
        <w:t>Глазов</w:t>
      </w:r>
      <w:r w:rsidRPr="001725FA">
        <w:rPr>
          <w:rFonts w:ascii="Times New Roman" w:hAnsi="Times New Roman"/>
          <w:sz w:val="24"/>
          <w:szCs w:val="24"/>
        </w:rPr>
        <w:t>ский</w:t>
      </w:r>
      <w:proofErr w:type="spellEnd"/>
      <w:r w:rsidRPr="001725FA">
        <w:rPr>
          <w:rFonts w:ascii="Times New Roman" w:hAnsi="Times New Roman"/>
          <w:sz w:val="24"/>
          <w:szCs w:val="24"/>
        </w:rPr>
        <w:t xml:space="preserve">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Сведения об объеме и составе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представлены в таблице </w:t>
      </w:r>
      <w:bookmarkStart w:id="4" w:name="Par1268"/>
      <w:bookmarkEnd w:id="4"/>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структуре муниципального долга муниципального </w:t>
      </w:r>
      <w:r w:rsidRPr="001277AD">
        <w:rPr>
          <w:rFonts w:ascii="Times New Roman" w:hAnsi="Times New Roman"/>
          <w:color w:val="000000"/>
          <w:sz w:val="24"/>
          <w:szCs w:val="24"/>
        </w:rPr>
        <w:lastRenderedPageBreak/>
        <w:t>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Объем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связано с необходимостью финансирования дефицита бюджета. Недостаточность доходной базы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необходимость обеспечения исполнения социальных и иных первоочередных расходных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lastRenderedPageBreak/>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w:t>
            </w:r>
            <w:proofErr w:type="spellStart"/>
            <w:r w:rsidRPr="00EA4287">
              <w:rPr>
                <w:rFonts w:ascii="Times New Roman" w:hAnsi="Times New Roman"/>
                <w:bCs/>
                <w:color w:val="000000"/>
                <w:sz w:val="20"/>
                <w:szCs w:val="20"/>
              </w:rPr>
              <w:t>Глазовский</w:t>
            </w:r>
            <w:proofErr w:type="spellEnd"/>
            <w:r w:rsidRPr="00EA4287">
              <w:rPr>
                <w:rFonts w:ascii="Times New Roman" w:hAnsi="Times New Roman"/>
                <w:bCs/>
                <w:color w:val="000000"/>
                <w:sz w:val="20"/>
                <w:szCs w:val="20"/>
              </w:rPr>
              <w:t xml:space="preserve">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5" w:name="Par1524"/>
      <w:bookmarkEnd w:id="5"/>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6" w:name="Par1547"/>
      <w:bookmarkEnd w:id="6"/>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w:t>
      </w:r>
      <w:r w:rsidRPr="001277AD">
        <w:rPr>
          <w:rFonts w:ascii="Times New Roman" w:hAnsi="Times New Roman"/>
          <w:color w:val="000000"/>
          <w:sz w:val="24"/>
          <w:szCs w:val="24"/>
        </w:rPr>
        <w:lastRenderedPageBreak/>
        <w:t xml:space="preserve">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w:t>
      </w:r>
      <w:proofErr w:type="spellStart"/>
      <w:r w:rsidRPr="00373764">
        <w:rPr>
          <w:rFonts w:ascii="Times New Roman" w:hAnsi="Times New Roman"/>
          <w:sz w:val="24"/>
          <w:szCs w:val="24"/>
        </w:rPr>
        <w:t>Глазовский</w:t>
      </w:r>
      <w:proofErr w:type="spellEnd"/>
      <w:r w:rsidRPr="00373764">
        <w:rPr>
          <w:rFonts w:ascii="Times New Roman" w:hAnsi="Times New Roman"/>
          <w:sz w:val="24"/>
          <w:szCs w:val="24"/>
        </w:rPr>
        <w:t xml:space="preserve">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950068"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w:t>
      </w:r>
      <w:proofErr w:type="spellStart"/>
      <w:r w:rsidR="000541AE" w:rsidRPr="001277AD">
        <w:rPr>
          <w:rFonts w:ascii="Times New Roman" w:hAnsi="Times New Roman"/>
          <w:color w:val="000000"/>
          <w:sz w:val="24"/>
          <w:szCs w:val="24"/>
        </w:rPr>
        <w:t>Глазовский</w:t>
      </w:r>
      <w:proofErr w:type="spellEnd"/>
      <w:r w:rsidR="000541AE" w:rsidRPr="001277AD">
        <w:rPr>
          <w:rFonts w:ascii="Times New Roman" w:hAnsi="Times New Roman"/>
          <w:color w:val="000000"/>
          <w:sz w:val="24"/>
          <w:szCs w:val="24"/>
        </w:rPr>
        <w:t xml:space="preserve">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w:t>
      </w:r>
      <w:r w:rsidR="000541AE" w:rsidRPr="001277AD">
        <w:rPr>
          <w:rFonts w:ascii="Times New Roman" w:hAnsi="Times New Roman"/>
          <w:color w:val="000000"/>
          <w:sz w:val="24"/>
          <w:szCs w:val="24"/>
        </w:rPr>
        <w:lastRenderedPageBreak/>
        <w:t>распорядителями средств бюджета муниципального образования «</w:t>
      </w:r>
      <w:proofErr w:type="spellStart"/>
      <w:r w:rsidR="000541AE" w:rsidRPr="001277AD">
        <w:rPr>
          <w:rFonts w:ascii="Times New Roman" w:hAnsi="Times New Roman"/>
          <w:color w:val="000000"/>
          <w:sz w:val="24"/>
          <w:szCs w:val="24"/>
        </w:rPr>
        <w:t>Глазовский</w:t>
      </w:r>
      <w:proofErr w:type="spellEnd"/>
      <w:r w:rsidR="000541AE" w:rsidRPr="001277AD">
        <w:rPr>
          <w:rFonts w:ascii="Times New Roman" w:hAnsi="Times New Roman"/>
          <w:color w:val="000000"/>
          <w:sz w:val="24"/>
          <w:szCs w:val="24"/>
        </w:rPr>
        <w:t xml:space="preserve">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proofErr w:type="spellStart"/>
      <w:r>
        <w:rPr>
          <w:rFonts w:ascii="Times New Roman" w:hAnsi="Times New Roman"/>
          <w:sz w:val="24"/>
          <w:szCs w:val="24"/>
        </w:rPr>
        <w:t>Глазовский</w:t>
      </w:r>
      <w:proofErr w:type="spellEnd"/>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w:t>
      </w:r>
    </w:p>
    <w:p w:rsidR="000541AE" w:rsidRPr="006A5A86" w:rsidRDefault="0095006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95006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95006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sidRPr="006A5A86">
        <w:rPr>
          <w:rFonts w:ascii="Times New Roman" w:hAnsi="Times New Roman"/>
          <w:sz w:val="24"/>
          <w:szCs w:val="24"/>
        </w:rPr>
        <w:lastRenderedPageBreak/>
        <w:t>«</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7) повышение эффективности деятельности органов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увеличения поступлений доходов от его использования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w:t>
      </w:r>
      <w:r w:rsidRPr="00EF1527">
        <w:rPr>
          <w:rFonts w:ascii="Times New Roman" w:hAnsi="Times New Roman"/>
          <w:sz w:val="24"/>
          <w:szCs w:val="24"/>
        </w:rPr>
        <w:lastRenderedPageBreak/>
        <w:t xml:space="preserve">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консолидированный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21) проведение мониторинга поступления налогов, сборов и иных обязательных платежей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бюджетном процессе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Совет депутатов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EF1527">
        <w:rPr>
          <w:rFonts w:ascii="Times New Roman" w:hAnsi="Times New Roman"/>
          <w:sz w:val="24"/>
          <w:szCs w:val="24"/>
        </w:rPr>
        <w:lastRenderedPageBreak/>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w:t>
      </w:r>
      <w:proofErr w:type="spellStart"/>
      <w:r w:rsidRPr="00550735">
        <w:rPr>
          <w:rFonts w:ascii="Times New Roman" w:hAnsi="Times New Roman"/>
          <w:sz w:val="24"/>
          <w:szCs w:val="24"/>
        </w:rPr>
        <w:t>Глазовский</w:t>
      </w:r>
      <w:proofErr w:type="spellEnd"/>
      <w:r w:rsidRPr="00550735">
        <w:rPr>
          <w:rFonts w:ascii="Times New Roman" w:hAnsi="Times New Roman"/>
          <w:sz w:val="24"/>
          <w:szCs w:val="24"/>
        </w:rPr>
        <w:t xml:space="preserve">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организация планирования и исполнения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кассового обслуживания исполнения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550735">
        <w:rPr>
          <w:rFonts w:ascii="Times New Roman" w:hAnsi="Times New Roman"/>
          <w:color w:val="000000"/>
          <w:sz w:val="24"/>
          <w:szCs w:val="24"/>
        </w:rPr>
        <w:t>Глазовски</w:t>
      </w:r>
      <w:r>
        <w:rPr>
          <w:rFonts w:ascii="Times New Roman" w:hAnsi="Times New Roman"/>
          <w:color w:val="000000"/>
          <w:sz w:val="24"/>
          <w:szCs w:val="24"/>
        </w:rPr>
        <w:t>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w:t>
      </w:r>
      <w:proofErr w:type="spellStart"/>
      <w:r w:rsidRPr="00550735">
        <w:rPr>
          <w:rFonts w:ascii="Times New Roman" w:hAnsi="Times New Roman"/>
        </w:rPr>
        <w:t>Глазовский</w:t>
      </w:r>
      <w:proofErr w:type="spellEnd"/>
      <w:r w:rsidRPr="00550735">
        <w:rPr>
          <w:rFonts w:ascii="Times New Roman" w:hAnsi="Times New Roman"/>
        </w:rPr>
        <w:t xml:space="preserve">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550735">
        <w:rPr>
          <w:rFonts w:ascii="Times New Roman" w:hAnsi="Times New Roman"/>
        </w:rPr>
        <w:t>Глазовский</w:t>
      </w:r>
      <w:proofErr w:type="spellEnd"/>
      <w:r w:rsidRPr="00550735">
        <w:rPr>
          <w:rFonts w:ascii="Times New Roman" w:hAnsi="Times New Roman"/>
        </w:rPr>
        <w:t xml:space="preserve">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lastRenderedPageBreak/>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консолидированного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 Отношение дефицита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доходам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программ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программ, ведомственных целевых программ) в общем объеме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объему расходов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 Отношение объема просроченной задолженности по долговым  обязательствам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общему объему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 Отношение объема выплат по муниципальным гарантиям к общему объему предоставленных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9)Исполнение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к расходам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 Уровень качества управления муниципальными финансами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950068"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proofErr w:type="spellStart"/>
      <w:r w:rsidRPr="001D3C2C">
        <w:rPr>
          <w:rFonts w:ascii="Times New Roman" w:hAnsi="Times New Roman"/>
          <w:color w:val="000000"/>
          <w:sz w:val="24"/>
          <w:szCs w:val="24"/>
        </w:rPr>
        <w:t>Глазовск</w:t>
      </w:r>
      <w:r>
        <w:rPr>
          <w:rFonts w:ascii="Times New Roman" w:hAnsi="Times New Roman"/>
          <w:color w:val="000000"/>
          <w:sz w:val="24"/>
          <w:szCs w:val="24"/>
        </w:rPr>
        <w:t>ий</w:t>
      </w:r>
      <w:proofErr w:type="spellEnd"/>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2)Организация составления, составление проекта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3)Организация исполнения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w:t>
      </w:r>
      <w:proofErr w:type="spellStart"/>
      <w:r w:rsidRPr="004549E3">
        <w:rPr>
          <w:rFonts w:ascii="Times New Roman" w:hAnsi="Times New Roman"/>
          <w:bCs/>
          <w:sz w:val="24"/>
          <w:szCs w:val="24"/>
        </w:rPr>
        <w:t>Глазовский</w:t>
      </w:r>
      <w:proofErr w:type="spellEnd"/>
      <w:r w:rsidRPr="004549E3">
        <w:rPr>
          <w:rFonts w:ascii="Times New Roman" w:hAnsi="Times New Roman"/>
          <w:bCs/>
          <w:sz w:val="24"/>
          <w:szCs w:val="24"/>
        </w:rPr>
        <w:t xml:space="preserve">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6)Составление отчетности об исполнении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w:t>
      </w:r>
      <w:proofErr w:type="spellStart"/>
      <w:r w:rsidRPr="002047B2">
        <w:rPr>
          <w:rFonts w:ascii="Times New Roman" w:hAnsi="Times New Roman"/>
          <w:sz w:val="24"/>
          <w:szCs w:val="24"/>
        </w:rPr>
        <w:t>Глазовский</w:t>
      </w:r>
      <w:proofErr w:type="spellEnd"/>
      <w:r w:rsidRPr="002047B2">
        <w:rPr>
          <w:rFonts w:ascii="Times New Roman" w:hAnsi="Times New Roman"/>
          <w:sz w:val="24"/>
          <w:szCs w:val="24"/>
        </w:rPr>
        <w:t xml:space="preserve">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w:t>
      </w:r>
      <w:r w:rsidRPr="001D3C2C">
        <w:rPr>
          <w:rFonts w:ascii="Times New Roman" w:hAnsi="Times New Roman"/>
          <w:color w:val="000000"/>
          <w:sz w:val="24"/>
          <w:szCs w:val="24"/>
        </w:rPr>
        <w:lastRenderedPageBreak/>
        <w:t>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ведением бюджетного учета и составления бюджетной отчетности, составления отчетности об исполнении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и ведения реестра расходных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регулирующих сферу управления муниципальным долгом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)Учет долговых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w:t>
      </w:r>
      <w:r w:rsidRPr="003B343D">
        <w:rPr>
          <w:rFonts w:ascii="Times New Roman" w:hAnsi="Times New Roman"/>
          <w:sz w:val="24"/>
          <w:szCs w:val="24"/>
        </w:rPr>
        <w:lastRenderedPageBreak/>
        <w:t>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950068"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7" w:name="Par1862"/>
      <w:bookmarkEnd w:id="7"/>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Постановлением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бюджетных росписей главных распорядителей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(главных администраторов источников финансирования дефицита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w:t>
      </w:r>
      <w:r w:rsidRPr="001277AD">
        <w:rPr>
          <w:rFonts w:ascii="Times New Roman" w:hAnsi="Times New Roman"/>
          <w:color w:val="000000"/>
          <w:sz w:val="24"/>
          <w:szCs w:val="24"/>
        </w:rPr>
        <w:lastRenderedPageBreak/>
        <w:t>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w:t>
      </w:r>
      <w:proofErr w:type="spellStart"/>
      <w:r w:rsidRPr="00D2046D">
        <w:rPr>
          <w:bCs/>
        </w:rPr>
        <w:t>Глазовский</w:t>
      </w:r>
      <w:proofErr w:type="spellEnd"/>
      <w:r w:rsidRPr="00D2046D">
        <w:rPr>
          <w:bCs/>
        </w:rPr>
        <w:t xml:space="preserve">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w:t>
      </w:r>
      <w:proofErr w:type="spellStart"/>
      <w:r w:rsidRPr="00D2046D">
        <w:rPr>
          <w:bCs/>
        </w:rPr>
        <w:t>Глазовский</w:t>
      </w:r>
      <w:proofErr w:type="spellEnd"/>
      <w:r w:rsidRPr="00D2046D">
        <w:rPr>
          <w:bCs/>
        </w:rPr>
        <w:t xml:space="preserve">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w:t>
      </w:r>
      <w:proofErr w:type="spellStart"/>
      <w:r w:rsidRPr="00176C70">
        <w:rPr>
          <w:bCs/>
        </w:rPr>
        <w:t>Глазовский</w:t>
      </w:r>
      <w:proofErr w:type="spellEnd"/>
      <w:r w:rsidRPr="00176C70">
        <w:rPr>
          <w:bCs/>
        </w:rPr>
        <w:t xml:space="preserve">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w:t>
      </w:r>
      <w:proofErr w:type="spellStart"/>
      <w:r w:rsidRPr="00C33296">
        <w:rPr>
          <w:rFonts w:ascii="Times New Roman" w:hAnsi="Times New Roman"/>
          <w:sz w:val="24"/>
          <w:szCs w:val="24"/>
        </w:rPr>
        <w:t>Глазовский</w:t>
      </w:r>
      <w:proofErr w:type="spellEnd"/>
      <w:r w:rsidRPr="00C33296">
        <w:rPr>
          <w:rFonts w:ascii="Times New Roman" w:hAnsi="Times New Roman"/>
          <w:sz w:val="24"/>
          <w:szCs w:val="24"/>
        </w:rPr>
        <w:t xml:space="preserve">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950068"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 xml:space="preserve">для учета операций по обеспечению получателей средств </w:t>
      </w:r>
      <w:r w:rsidRPr="001277AD">
        <w:rPr>
          <w:rFonts w:ascii="Times New Roman" w:hAnsi="Times New Roman"/>
          <w:sz w:val="24"/>
          <w:szCs w:val="24"/>
        </w:rPr>
        <w:lastRenderedPageBreak/>
        <w:t>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формирования отчетности консолидированного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bookmarkStart w:id="8" w:name="Par900"/>
      <w:bookmarkEnd w:id="8"/>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9" w:name="Par1135"/>
      <w:bookmarkEnd w:id="9"/>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847015">
        <w:rPr>
          <w:rFonts w:ascii="Times New Roman" w:hAnsi="Times New Roman"/>
          <w:sz w:val="24"/>
          <w:szCs w:val="24"/>
        </w:rPr>
        <w:t>район», учреждений, получающих средства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наделено полномочиями органов местного самоуправления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расчету и предоставлению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950068"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составит 300593,9 тыс. рублей,   в том числе: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в 2015 году – 49507,9  тыс. рублей;</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50217,2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50217,2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50217,2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50217,2  тыс. рублей;                    </w:t>
      </w:r>
    </w:p>
    <w:p w:rsidR="000541AE" w:rsidRPr="00B33485" w:rsidRDefault="000541AE" w:rsidP="00666820">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 xml:space="preserve">в 2020 году–50217,2   тыс. рублей.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как главного распорядителя средств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w:t>
      </w:r>
      <w:r w:rsidRPr="00B33485">
        <w:rPr>
          <w:rFonts w:ascii="Times New Roman" w:hAnsi="Times New Roman"/>
          <w:color w:val="000000"/>
          <w:sz w:val="24"/>
          <w:szCs w:val="24"/>
        </w:rPr>
        <w:lastRenderedPageBreak/>
        <w:t>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иде дотаций на обеспечение сбалансированности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вопросам исполнения бюджета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доходам.</w:t>
      </w:r>
      <w:r w:rsidRPr="00B33485">
        <w:rPr>
          <w:rFonts w:ascii="Times New Roman" w:hAnsi="Times New Roman"/>
          <w:sz w:val="24"/>
          <w:szCs w:val="24"/>
        </w:rPr>
        <w:br/>
        <w:t>Постановление  Администрации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от 18 июня 2013 года № 64.1 "Об утверждении  Плана мероприятий по увеличению доходной части бюджета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необеспеченных доходами, увеличение объема дефицита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Для минимизации рисков при принятии решения о предоставлении </w:t>
      </w:r>
      <w:r w:rsidRPr="00B33485">
        <w:rPr>
          <w:rFonts w:ascii="Times New Roman" w:hAnsi="Times New Roman"/>
          <w:color w:val="000000"/>
          <w:sz w:val="24"/>
          <w:szCs w:val="24"/>
        </w:rPr>
        <w:lastRenderedPageBreak/>
        <w:t>муниципальной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перед кредиторами. При предоставлении муниципальной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7. Риск нецелевого и (или) неэффективного использования межбюджетных трансфертов, предоставленных из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 бюджет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консолидированного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1)Сбалансированность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2)Исполнение плана по налоговым и неналоговым доходам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7)Соблюдение ограничений по объему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50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8)Соблюдение ограничений по расходам на обслуживание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объема расходов, </w:t>
      </w:r>
      <w:r w:rsidRPr="00626E0A">
        <w:rPr>
          <w:rFonts w:ascii="Times New Roman" w:hAnsi="Times New Roman"/>
          <w:color w:val="000000"/>
          <w:sz w:val="24"/>
          <w:szCs w:val="24"/>
        </w:rPr>
        <w:lastRenderedPageBreak/>
        <w:t xml:space="preserve">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9)Недопущение просроченной задолженности по долговым  обязательствам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10)Соблюдение ограничений по объему выплат по муниципальным гарантиям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(не более 10 процентов к общему объему предоставленных муниципальным образованием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11)Соблюдение ограничений по объему заимствований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13)Доля межбюджетных трансфертов из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 xml:space="preserve">ровень качества управления муниципальными финансами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FE1"/>
    <w:rsid w:val="00086B65"/>
    <w:rsid w:val="00094024"/>
    <w:rsid w:val="000E466F"/>
    <w:rsid w:val="001136B1"/>
    <w:rsid w:val="001137BE"/>
    <w:rsid w:val="001277AD"/>
    <w:rsid w:val="00142869"/>
    <w:rsid w:val="001725FA"/>
    <w:rsid w:val="0017654E"/>
    <w:rsid w:val="00176C70"/>
    <w:rsid w:val="001B06B7"/>
    <w:rsid w:val="001C4C81"/>
    <w:rsid w:val="001D3C2C"/>
    <w:rsid w:val="001D431F"/>
    <w:rsid w:val="001F7243"/>
    <w:rsid w:val="001F7727"/>
    <w:rsid w:val="00203728"/>
    <w:rsid w:val="002047B2"/>
    <w:rsid w:val="00220CA5"/>
    <w:rsid w:val="00225184"/>
    <w:rsid w:val="00232546"/>
    <w:rsid w:val="00234D82"/>
    <w:rsid w:val="00253861"/>
    <w:rsid w:val="00260367"/>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425F23"/>
    <w:rsid w:val="00430845"/>
    <w:rsid w:val="00437D2A"/>
    <w:rsid w:val="00440C0A"/>
    <w:rsid w:val="004510A9"/>
    <w:rsid w:val="004549E3"/>
    <w:rsid w:val="00460C86"/>
    <w:rsid w:val="00465AED"/>
    <w:rsid w:val="004817C5"/>
    <w:rsid w:val="004B4EDE"/>
    <w:rsid w:val="004C12D0"/>
    <w:rsid w:val="004C69B1"/>
    <w:rsid w:val="004D5489"/>
    <w:rsid w:val="005000F6"/>
    <w:rsid w:val="00506A37"/>
    <w:rsid w:val="00531887"/>
    <w:rsid w:val="005353CC"/>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47015"/>
    <w:rsid w:val="008564EE"/>
    <w:rsid w:val="00865237"/>
    <w:rsid w:val="00870B9B"/>
    <w:rsid w:val="00877268"/>
    <w:rsid w:val="00887235"/>
    <w:rsid w:val="00897D8E"/>
    <w:rsid w:val="008B259D"/>
    <w:rsid w:val="008B7E70"/>
    <w:rsid w:val="008D0508"/>
    <w:rsid w:val="008F4C4F"/>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567A"/>
    <w:rsid w:val="00A505AD"/>
    <w:rsid w:val="00A74DB8"/>
    <w:rsid w:val="00A8438D"/>
    <w:rsid w:val="00A848BA"/>
    <w:rsid w:val="00A91791"/>
    <w:rsid w:val="00AA1BFF"/>
    <w:rsid w:val="00AC0D02"/>
    <w:rsid w:val="00AE1AC3"/>
    <w:rsid w:val="00AE227C"/>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27C42"/>
    <w:rsid w:val="00C33296"/>
    <w:rsid w:val="00C350B6"/>
    <w:rsid w:val="00C6668C"/>
    <w:rsid w:val="00C70A77"/>
    <w:rsid w:val="00C72373"/>
    <w:rsid w:val="00C76C6C"/>
    <w:rsid w:val="00C77340"/>
    <w:rsid w:val="00C80C09"/>
    <w:rsid w:val="00CB3DCE"/>
    <w:rsid w:val="00CB4653"/>
    <w:rsid w:val="00CB7575"/>
    <w:rsid w:val="00CD230E"/>
    <w:rsid w:val="00D02E7F"/>
    <w:rsid w:val="00D101FB"/>
    <w:rsid w:val="00D103A1"/>
    <w:rsid w:val="00D2046D"/>
    <w:rsid w:val="00D233BE"/>
    <w:rsid w:val="00D33DBD"/>
    <w:rsid w:val="00D345FF"/>
    <w:rsid w:val="00D4604A"/>
    <w:rsid w:val="00D50882"/>
    <w:rsid w:val="00D60DF8"/>
    <w:rsid w:val="00D74783"/>
    <w:rsid w:val="00DC6350"/>
    <w:rsid w:val="00DD0D1C"/>
    <w:rsid w:val="00DE1E88"/>
    <w:rsid w:val="00DE6B79"/>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3109</TotalTime>
  <Pages>24</Pages>
  <Words>13070</Words>
  <Characters>74504</Characters>
  <Application>Microsoft Office Word</Application>
  <DocSecurity>0</DocSecurity>
  <Lines>620</Lines>
  <Paragraphs>174</Paragraphs>
  <ScaleCrop>false</ScaleCrop>
  <Company> </Company>
  <LinksUpToDate>false</LinksUpToDate>
  <CharactersWithSpaces>87400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2014-09-16T04:54:00Z</cp:lastPrinted>
  <dcterms:created xsi:type="dcterms:W3CDTF">2014-04-25T05:13:00Z</dcterms:created>
  <dcterms:modified xsi:type="dcterms:W3CDTF">2014-11-10T08:22:00Z</dcterms:modified>
</cp:coreProperties>
</file>