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24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 «Глазовский район»  </w:t>
      </w:r>
    </w:p>
    <w:p w:rsidR="007214FB" w:rsidRPr="004C1C67" w:rsidRDefault="007214FB" w:rsidP="004C1C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 от 14 ноября 2014года</w:t>
      </w:r>
    </w:p>
    <w:p w:rsidR="004C1C67" w:rsidRPr="004C1C67" w:rsidRDefault="004C1C67" w:rsidP="004C1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Утверждена: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Администрации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 «Глазовский район»  </w:t>
      </w:r>
    </w:p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№___ от 14 ноября 2014года </w:t>
      </w: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«Глазовский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ED4ACE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FE7846" w:rsidP="00FE7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одпрограммы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A246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«Глазовский район»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«Глазовский район»                </w:t>
            </w:r>
          </w:p>
        </w:tc>
      </w:tr>
      <w:tr w:rsidR="003E399F" w:rsidRPr="00674EB4" w:rsidTr="00A246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A246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A246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Задачи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      </w:r>
          </w:p>
        </w:tc>
      </w:tr>
      <w:tr w:rsidR="00A24646" w:rsidRPr="00674EB4" w:rsidTr="00A246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«Глазовский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2015 - 2020 годы, этапы не выделяются,                                         </w:t>
            </w:r>
          </w:p>
        </w:tc>
      </w:tr>
      <w:tr w:rsidR="003E399F" w:rsidRPr="00674EB4" w:rsidTr="00A246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</w:rPr>
              <w:lastRenderedPageBreak/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 </w:t>
            </w:r>
            <w:r w:rsidR="00633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числе: 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2015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2016 году –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2017 году –  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2018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2019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2020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33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рублей.                             </w:t>
            </w:r>
          </w:p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E399F" w:rsidRPr="00674EB4" w:rsidTr="00A246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2020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ия бюджета муниципального образования «Глазовский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- 2020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6333D3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655"/>
      <w:bookmarkEnd w:id="7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662"/>
      <w:bookmarkEnd w:id="8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81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70</w:t>
      </w:r>
      <w:bookmarkStart w:id="10" w:name="_GoBack"/>
      <w:bookmarkEnd w:id="10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2020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Предполагается достичь бюджетной эффективности, выражающейся в получении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>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BD40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11644"/>
    <w:rsid w:val="00112A70"/>
    <w:rsid w:val="001428EE"/>
    <w:rsid w:val="001773CF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A78D0"/>
    <w:rsid w:val="004B755C"/>
    <w:rsid w:val="004C1C67"/>
    <w:rsid w:val="004D24E7"/>
    <w:rsid w:val="004E1AF0"/>
    <w:rsid w:val="005333C2"/>
    <w:rsid w:val="005843A4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82149"/>
    <w:rsid w:val="00A844F6"/>
    <w:rsid w:val="00AD5F4A"/>
    <w:rsid w:val="00B2633C"/>
    <w:rsid w:val="00B410B3"/>
    <w:rsid w:val="00B723D0"/>
    <w:rsid w:val="00B9114B"/>
    <w:rsid w:val="00BD40C1"/>
    <w:rsid w:val="00BD5A1B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D4ACE"/>
    <w:rsid w:val="00ED706A"/>
    <w:rsid w:val="00F1413D"/>
    <w:rsid w:val="00F42D51"/>
    <w:rsid w:val="00F749D5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DF1F-E06C-40EC-8469-CBBB20F1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3509</TotalTime>
  <Pages>17</Pages>
  <Words>7553</Words>
  <Characters>43058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49</cp:revision>
  <cp:lastPrinted>2014-08-15T05:07:00Z</cp:lastPrinted>
  <dcterms:created xsi:type="dcterms:W3CDTF">2014-04-18T07:41:00Z</dcterms:created>
  <dcterms:modified xsi:type="dcterms:W3CDTF">2018-01-25T10:15:00Z</dcterms:modified>
</cp:coreProperties>
</file>