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400" w:rsidRPr="00681856" w:rsidRDefault="001C2400" w:rsidP="001C2400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68185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 xml:space="preserve">Форма 1. </w:t>
      </w:r>
      <w:hyperlink r:id="rId5" w:history="1">
        <w:r w:rsidRPr="00681856">
          <w:rPr>
            <w:rFonts w:ascii="Times New Roman" w:eastAsia="Calibri" w:hAnsi="Times New Roman" w:cs="Times New Roman"/>
            <w:color w:val="FF0000"/>
            <w:sz w:val="24"/>
            <w:szCs w:val="24"/>
            <w:lang w:eastAsia="ru-RU"/>
          </w:rPr>
          <w:t>Отчет</w:t>
        </w:r>
      </w:hyperlink>
      <w:r w:rsidRPr="00681856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«Обеспечение безопасности на территории муниципального образования  «</w:t>
      </w:r>
      <w:proofErr w:type="spellStart"/>
      <w:r w:rsidRPr="00681856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Глазовский</w:t>
      </w:r>
      <w:proofErr w:type="spellEnd"/>
      <w:r w:rsidRPr="00681856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район»  за 2021 год</w:t>
      </w:r>
    </w:p>
    <w:p w:rsidR="001C2400" w:rsidRPr="00EB0324" w:rsidRDefault="001C2400" w:rsidP="001C24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696"/>
        <w:gridCol w:w="571"/>
        <w:gridCol w:w="432"/>
        <w:gridCol w:w="1889"/>
        <w:gridCol w:w="310"/>
        <w:gridCol w:w="226"/>
        <w:gridCol w:w="467"/>
        <w:gridCol w:w="390"/>
        <w:gridCol w:w="216"/>
        <w:gridCol w:w="621"/>
        <w:gridCol w:w="275"/>
        <w:gridCol w:w="1044"/>
        <w:gridCol w:w="898"/>
        <w:gridCol w:w="216"/>
        <w:gridCol w:w="913"/>
        <w:gridCol w:w="234"/>
        <w:gridCol w:w="234"/>
        <w:gridCol w:w="783"/>
        <w:gridCol w:w="428"/>
        <w:gridCol w:w="792"/>
        <w:gridCol w:w="216"/>
        <w:gridCol w:w="2749"/>
        <w:gridCol w:w="93"/>
      </w:tblGrid>
      <w:tr w:rsidR="001C2400" w:rsidRPr="00EB0324" w:rsidTr="00124793">
        <w:trPr>
          <w:gridAfter w:val="1"/>
          <w:wAfter w:w="93" w:type="dxa"/>
          <w:trHeight w:val="600"/>
        </w:trPr>
        <w:tc>
          <w:tcPr>
            <w:tcW w:w="12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42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7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2836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22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9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1C2400" w:rsidRPr="00EB0324" w:rsidTr="00124793">
        <w:trPr>
          <w:gridAfter w:val="1"/>
          <w:wAfter w:w="93" w:type="dxa"/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C2400" w:rsidRPr="00EB0324" w:rsidTr="00124793">
        <w:trPr>
          <w:gridAfter w:val="1"/>
          <w:wAfter w:w="93" w:type="dxa"/>
          <w:trHeight w:val="585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C2400" w:rsidRPr="00EB0324" w:rsidTr="00124793">
        <w:trPr>
          <w:gridAfter w:val="1"/>
          <w:wAfter w:w="93" w:type="dxa"/>
          <w:trHeight w:val="300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Предупреждение и ликвидация чрезвычайных ситуаций</w:t>
            </w:r>
          </w:p>
        </w:tc>
      </w:tr>
      <w:tr w:rsidR="001C2400" w:rsidRPr="00EB0324" w:rsidTr="00124793">
        <w:trPr>
          <w:gridAfter w:val="1"/>
          <w:wAfter w:w="93" w:type="dxa"/>
          <w:trHeight w:val="16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погибших и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15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+9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Увеличилось количество погибших  на пожарах,(9чел.), на водных объектах- 2 чел., в ДТП – 4чел. </w:t>
            </w:r>
          </w:p>
        </w:tc>
      </w:tr>
      <w:tr w:rsidR="001C2400" w:rsidRPr="00EB0324" w:rsidTr="00124793">
        <w:trPr>
          <w:gridAfter w:val="1"/>
          <w:wAfter w:w="93" w:type="dxa"/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10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37E0E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Проведены заседания КЧС и ОПБ, собрания с населением</w:t>
            </w:r>
            <w:proofErr w:type="gramStart"/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проведены тренировки, обучение населения действиям при ЧС и ГО.</w:t>
            </w:r>
          </w:p>
        </w:tc>
      </w:tr>
      <w:tr w:rsidR="001C2400" w:rsidRPr="00EB0324" w:rsidTr="0012479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Процент оповещения населения 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электросиренами</w:t>
            </w:r>
            <w:proofErr w:type="spell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66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C2400" w:rsidRPr="00EB0324" w:rsidTr="0012479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Обеспеченность средствами  индивидуальной защиты (противогазами, аптечками,    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учреждений   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Направлен заказ в СГЗ УР</w:t>
            </w:r>
            <w:proofErr w:type="gramStart"/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.</w:t>
            </w:r>
            <w:proofErr w:type="gramEnd"/>
          </w:p>
        </w:tc>
      </w:tr>
      <w:tr w:rsidR="001C2400" w:rsidRPr="00EB0324" w:rsidTr="0012479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Обучено населения по гражданской обороне, 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предупреждению чрезвычайных ситуаций, пожарной и водной безопасности.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человек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согласно методическим указаниям МЧС РФ</w:t>
            </w:r>
          </w:p>
        </w:tc>
      </w:tr>
      <w:tr w:rsidR="001C2400" w:rsidRPr="00EB0324" w:rsidTr="0012479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Дальнейшее развитие Единой  дежурно-диспетчерской   служба Администрации   (ЕДДС) района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51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+6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113,3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Выделение  финансовых средств</w:t>
            </w:r>
          </w:p>
        </w:tc>
      </w:tr>
      <w:tr w:rsidR="001C2400" w:rsidRPr="00EB0324" w:rsidTr="0012479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1C2400" w:rsidRPr="00EB0324" w:rsidTr="0012479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1C2400" w:rsidRPr="00EB0324" w:rsidTr="0012479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выездов на чрезвычайные ситуации и происшествия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11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+1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Увеличилось количество ЧС </w:t>
            </w:r>
          </w:p>
        </w:tc>
      </w:tr>
      <w:tr w:rsidR="001C2400" w:rsidRPr="00EB0324" w:rsidTr="0012479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Полное отсутствие террористических актов на территории 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1C2400" w:rsidRPr="00EB0324" w:rsidTr="0012479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37E0E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1C2400" w:rsidRPr="00EB0324" w:rsidTr="00124793">
        <w:trPr>
          <w:trHeight w:val="300"/>
        </w:trPr>
        <w:tc>
          <w:tcPr>
            <w:tcW w:w="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0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1C2400" w:rsidRPr="00D13347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3347">
              <w:rPr>
                <w:rFonts w:ascii="Calibri" w:eastAsia="Calibri" w:hAnsi="Calibri" w:cs="Times New Roman"/>
                <w:b/>
                <w:color w:val="000000"/>
                <w:lang w:eastAsia="ar-SA"/>
              </w:rPr>
              <w:t>Профилактика правонарушений</w:t>
            </w:r>
            <w:r w:rsidRPr="00D1334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1C2400" w:rsidRPr="00EB0324" w:rsidTr="00124793">
        <w:trPr>
          <w:trHeight w:val="806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400" w:rsidRDefault="001C2400" w:rsidP="00124793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EB0324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EB0324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EB0324">
              <w:rPr>
                <w:rFonts w:ascii="Times New Roman" w:hAnsi="Times New Roman"/>
                <w:lang w:eastAsia="ru-RU"/>
              </w:rPr>
              <w:t xml:space="preserve"> район»</w:t>
            </w:r>
            <w:r>
              <w:rPr>
                <w:rFonts w:ascii="Times New Roman" w:hAnsi="Times New Roman"/>
                <w:lang w:eastAsia="ru-RU"/>
              </w:rPr>
              <w:t xml:space="preserve"> (в расчете на 10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>
              <w:rPr>
                <w:rFonts w:ascii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/>
                <w:lang w:eastAsia="ru-RU"/>
              </w:rPr>
              <w:t>аселения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1C2400" w:rsidRDefault="001C2400" w:rsidP="00124793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  <w:p w:rsidR="001C2400" w:rsidRPr="00EB0324" w:rsidRDefault="001C2400" w:rsidP="00124793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</w:t>
            </w:r>
            <w:proofErr w:type="spellEnd"/>
          </w:p>
          <w:p w:rsidR="001C2400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EB032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120</w:t>
            </w:r>
          </w:p>
          <w:p w:rsidR="001C2400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1C2400" w:rsidRPr="004D22D9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D22D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140</w:t>
            </w:r>
          </w:p>
          <w:p w:rsidR="001C2400" w:rsidRPr="004D22D9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124</w:t>
            </w:r>
          </w:p>
          <w:p w:rsidR="001C2400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  <w:p w:rsidR="001C2400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  <w:p w:rsidR="001C2400" w:rsidRPr="004D22D9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4D22D9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-16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4D22D9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88,6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C2400" w:rsidRPr="004D22D9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2400" w:rsidRPr="00EA32C9" w:rsidRDefault="001C2400" w:rsidP="00124793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EA32C9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EA32C9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 xml:space="preserve"> </w:t>
            </w:r>
          </w:p>
          <w:p w:rsidR="001C2400" w:rsidRPr="00EA32C9" w:rsidRDefault="001C2400" w:rsidP="00124793">
            <w:pPr>
              <w:pStyle w:val="a3"/>
              <w:ind w:firstLine="0"/>
              <w:rPr>
                <w:color w:val="FF0000"/>
                <w:sz w:val="16"/>
                <w:szCs w:val="16"/>
              </w:rPr>
            </w:pPr>
            <w:r w:rsidRPr="00EA32C9">
              <w:rPr>
                <w:color w:val="FF0000"/>
                <w:sz w:val="16"/>
                <w:szCs w:val="16"/>
              </w:rPr>
              <w:t xml:space="preserve">Уровень преступности в расчете на 10 тысяч населения по </w:t>
            </w:r>
            <w:proofErr w:type="spellStart"/>
            <w:r w:rsidRPr="00EA32C9">
              <w:rPr>
                <w:color w:val="FF0000"/>
                <w:sz w:val="16"/>
                <w:szCs w:val="16"/>
              </w:rPr>
              <w:t>Глазовскому</w:t>
            </w:r>
            <w:proofErr w:type="spellEnd"/>
            <w:r w:rsidRPr="00EA32C9">
              <w:rPr>
                <w:color w:val="FF0000"/>
                <w:sz w:val="16"/>
                <w:szCs w:val="16"/>
              </w:rPr>
              <w:t xml:space="preserve"> району возрос и составил 124 (в 2020 году 120 преступлений). </w:t>
            </w:r>
          </w:p>
          <w:p w:rsidR="001C2400" w:rsidRPr="00EA32C9" w:rsidRDefault="001C2400" w:rsidP="00124793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Зарегистрировано 3 убийства (в 2020 -4, -25,0%). Зарегистрировано 2 грабежа, 1 в </w:t>
            </w:r>
            <w:proofErr w:type="spellStart"/>
            <w:r w:rsidRPr="00EA32C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д</w:t>
            </w:r>
            <w:proofErr w:type="gramStart"/>
            <w:r w:rsidRPr="00EA32C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.К</w:t>
            </w:r>
            <w:proofErr w:type="gramEnd"/>
            <w:r w:rsidRPr="00EA32C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ачкашур</w:t>
            </w:r>
            <w:proofErr w:type="spellEnd"/>
            <w:r w:rsidRPr="00EA32C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– тяжкое, 1 – в </w:t>
            </w:r>
            <w:proofErr w:type="spellStart"/>
            <w:r w:rsidRPr="00EA32C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с.Понино</w:t>
            </w:r>
            <w:proofErr w:type="spellEnd"/>
            <w:r w:rsidRPr="00EA32C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,</w:t>
            </w:r>
          </w:p>
          <w:p w:rsidR="001C2400" w:rsidRPr="00EA32C9" w:rsidRDefault="001C2400" w:rsidP="00124793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В 2021 году на 18,5% с 54 до 64 возросло число преступлений против личности, на 19,0% при этом снизилось число преступлений против собственности (</w:t>
            </w:r>
            <w:proofErr w:type="gramStart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с</w:t>
            </w:r>
            <w:proofErr w:type="gramEnd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84 до 68).</w:t>
            </w:r>
          </w:p>
          <w:p w:rsidR="001C2400" w:rsidRPr="00EA32C9" w:rsidRDefault="001C2400" w:rsidP="00124793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32C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Основным фактором, повлиявшим на рост преступлений, стали преступления, выявленные участковыми уполномоченными полиции в семейно-бытовой сфере, соответственно, возросло число преступлений, совершенных на бытовой почве. </w:t>
            </w:r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По муниципальным образованиям преступления зарегистрированы: </w:t>
            </w:r>
            <w:proofErr w:type="gramStart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МО «</w:t>
            </w:r>
            <w:proofErr w:type="spellStart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» - 17 преступлений, из них 15 раскрыто; МО «</w:t>
            </w:r>
            <w:proofErr w:type="spellStart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» - 27 преступлений, из них 25 раскрыто; МО «</w:t>
            </w:r>
            <w:proofErr w:type="spellStart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Адамское</w:t>
            </w:r>
            <w:proofErr w:type="spellEnd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» - 25 преступлений, из них 20 раскрыто; МО «</w:t>
            </w:r>
            <w:proofErr w:type="spellStart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» - 8 преступлений, из них 4 раскрыто; МО «</w:t>
            </w:r>
            <w:proofErr w:type="spellStart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» - 19 преступлений, из них 13 раскрыто; МО «</w:t>
            </w:r>
            <w:proofErr w:type="spellStart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» - 35 преступлений, из них 21 раскрыто; МО «</w:t>
            </w:r>
            <w:proofErr w:type="spellStart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» - 19 преступлений, из них 16 раскрыто;</w:t>
            </w:r>
            <w:proofErr w:type="gramEnd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МО «</w:t>
            </w:r>
            <w:proofErr w:type="spellStart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» - 2 преступления, из них 1 раскрыто; МО «</w:t>
            </w:r>
            <w:proofErr w:type="spellStart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» - 10 преступлений, из них 8 раскрыто; МО «Октябрьское» - 9 преступлений, из них 5 раскрыто; МО «</w:t>
            </w:r>
            <w:proofErr w:type="spellStart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A32C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» - 6 преступлений, из них 3 раскрыто.</w:t>
            </w:r>
            <w:proofErr w:type="gramEnd"/>
          </w:p>
        </w:tc>
      </w:tr>
      <w:tr w:rsidR="001C2400" w:rsidRPr="00EB0324" w:rsidTr="0012479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2400" w:rsidRPr="00EB0324" w:rsidRDefault="001C2400" w:rsidP="00124793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B0324">
              <w:rPr>
                <w:rFonts w:ascii="Times New Roman" w:eastAsia="Calibri" w:hAnsi="Times New Roman" w:cs="Times New Roman"/>
              </w:rPr>
              <w:t xml:space="preserve">Количество районных мероприятий </w:t>
            </w:r>
            <w:r w:rsidRPr="00EB0324">
              <w:rPr>
                <w:rFonts w:ascii="Times New Roman" w:eastAsia="Calibri" w:hAnsi="Times New Roman" w:cs="Times New Roman"/>
              </w:rPr>
              <w:lastRenderedPageBreak/>
              <w:t xml:space="preserve">социально профилактикой направленности  </w:t>
            </w:r>
          </w:p>
          <w:p w:rsidR="001C2400" w:rsidRPr="00EB0324" w:rsidRDefault="001C2400" w:rsidP="0012479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проценты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1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+2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115,4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115,4 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C2400" w:rsidRPr="00EA32C9" w:rsidRDefault="001C2400" w:rsidP="0012479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1C2400" w:rsidRPr="00EA32C9" w:rsidRDefault="001C2400" w:rsidP="00124793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24.02 Урок мужества «Блокадный Ленинград»</w:t>
            </w:r>
          </w:p>
          <w:p w:rsidR="001C2400" w:rsidRPr="00EA32C9" w:rsidRDefault="001C2400" w:rsidP="0012479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27.02 Открытая районная военно-</w:t>
            </w: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lastRenderedPageBreak/>
              <w:t>спортивная игра «Зарница»</w:t>
            </w:r>
          </w:p>
          <w:p w:rsidR="001C2400" w:rsidRPr="00EA32C9" w:rsidRDefault="001C2400" w:rsidP="00124793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21.03 Районный конкурс «Волонтер года»</w:t>
            </w:r>
          </w:p>
          <w:p w:rsidR="001C2400" w:rsidRPr="00EA32C9" w:rsidRDefault="001C2400" w:rsidP="00124793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18.03,19.03, 01.04, 02.04, 06.04, 13.04, 16.04, 19.04, 20.04, 26.04 Ролевая игра  в рамках профилактического проекта «Равны</w:t>
            </w:r>
            <w:proofErr w:type="gramStart"/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й-</w:t>
            </w:r>
            <w:proofErr w:type="gramEnd"/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равному»</w:t>
            </w:r>
          </w:p>
          <w:p w:rsidR="001C2400" w:rsidRPr="00EA32C9" w:rsidRDefault="001C2400" w:rsidP="00124793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26-28.05 Тренинг по правовой безопасности подростков</w:t>
            </w:r>
          </w:p>
          <w:p w:rsidR="001C2400" w:rsidRPr="00EA32C9" w:rsidRDefault="001C2400" w:rsidP="00124793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01.06-30.06 Акция «ЗОЖ 24 на 7», </w:t>
            </w:r>
          </w:p>
          <w:p w:rsidR="001C2400" w:rsidRPr="00EA32C9" w:rsidRDefault="001C2400" w:rsidP="00124793">
            <w:pPr>
              <w:spacing w:before="40" w:after="4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22.09  Психологический тренинг «Толерантное восприятие </w:t>
            </w:r>
            <w:proofErr w:type="spellStart"/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окружащих</w:t>
            </w:r>
            <w:proofErr w:type="spellEnd"/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людей»</w:t>
            </w:r>
          </w:p>
          <w:p w:rsidR="001C2400" w:rsidRPr="00EA32C9" w:rsidRDefault="001C2400" w:rsidP="0012479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27.09 Мастер-класс «Основы добровольчества»</w:t>
            </w:r>
          </w:p>
          <w:p w:rsidR="001C2400" w:rsidRPr="00EA32C9" w:rsidRDefault="001C2400" w:rsidP="0012479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03.10 </w:t>
            </w:r>
            <w:proofErr w:type="gramStart"/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Районный</w:t>
            </w:r>
            <w:proofErr w:type="gramEnd"/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экослет</w:t>
            </w:r>
            <w:proofErr w:type="spellEnd"/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«Чистые игры»</w:t>
            </w:r>
          </w:p>
          <w:p w:rsidR="001C2400" w:rsidRPr="00EA32C9" w:rsidRDefault="001C2400" w:rsidP="0012479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08.10 Мастер-класс по </w:t>
            </w:r>
            <w:proofErr w:type="spellStart"/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патриотике</w:t>
            </w:r>
            <w:proofErr w:type="spellEnd"/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«Я патриот»</w:t>
            </w:r>
          </w:p>
          <w:p w:rsidR="001C2400" w:rsidRPr="00EA32C9" w:rsidRDefault="001C2400" w:rsidP="0012479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27.10-29.10 </w:t>
            </w:r>
            <w:proofErr w:type="gramStart"/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Профильная</w:t>
            </w:r>
            <w:proofErr w:type="gramEnd"/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онлайн-смена «В здоровом теле здоровый ум»</w:t>
            </w:r>
          </w:p>
          <w:p w:rsidR="001C2400" w:rsidRPr="00EA32C9" w:rsidRDefault="001C2400" w:rsidP="0012479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26.11 Коммунарские сборы</w:t>
            </w:r>
          </w:p>
          <w:p w:rsidR="001C2400" w:rsidRPr="00EA32C9" w:rsidRDefault="001C2400" w:rsidP="0012479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11.12 Конкурс песни и строя среди активистов юнармейского движения «Звуки Победы»</w:t>
            </w:r>
          </w:p>
          <w:p w:rsidR="001C2400" w:rsidRPr="00EA32C9" w:rsidRDefault="001C2400" w:rsidP="0012479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18.12 Слет волонтёров «Мы вместе»</w:t>
            </w:r>
          </w:p>
          <w:p w:rsidR="001C2400" w:rsidRPr="00EA32C9" w:rsidRDefault="001C2400" w:rsidP="0012479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A32C9">
              <w:rPr>
                <w:rFonts w:ascii="Times New Roman" w:hAnsi="Times New Roman" w:cs="Times New Roman"/>
                <w:sz w:val="16"/>
                <w:szCs w:val="16"/>
              </w:rPr>
              <w:t xml:space="preserve">- Районный конкурс </w:t>
            </w:r>
            <w:proofErr w:type="gramStart"/>
            <w:r w:rsidRPr="00EA32C9">
              <w:rPr>
                <w:rFonts w:ascii="Times New Roman" w:hAnsi="Times New Roman" w:cs="Times New Roman"/>
                <w:sz w:val="16"/>
                <w:szCs w:val="16"/>
              </w:rPr>
              <w:t>интернет-постов</w:t>
            </w:r>
            <w:proofErr w:type="gramEnd"/>
            <w:r w:rsidRPr="00EA32C9">
              <w:rPr>
                <w:rFonts w:ascii="Times New Roman" w:hAnsi="Times New Roman" w:cs="Times New Roman"/>
                <w:sz w:val="16"/>
                <w:szCs w:val="16"/>
              </w:rPr>
              <w:t xml:space="preserve"> «ТОП-пост»</w:t>
            </w:r>
          </w:p>
        </w:tc>
      </w:tr>
      <w:tr w:rsidR="001C2400" w:rsidRPr="00EB0324" w:rsidTr="0012479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400" w:rsidRPr="00487EB4" w:rsidRDefault="001C2400" w:rsidP="00124793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487EB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487EB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487EB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100 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C2400" w:rsidRPr="00487EB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C2400" w:rsidRPr="00D21F5B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Список членов ДНД актуализирован</w:t>
            </w:r>
          </w:p>
          <w:p w:rsidR="001C2400" w:rsidRPr="00D21F5B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D21F5B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D21F5B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C2400" w:rsidRPr="00EB0324" w:rsidTr="0012479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2400" w:rsidRPr="00487EB4" w:rsidRDefault="001C2400" w:rsidP="00124793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</w:rPr>
              <w:t>Правонарушения в среде несовершеннолетних и молодежи</w:t>
            </w:r>
          </w:p>
          <w:p w:rsidR="001C2400" w:rsidRPr="00487EB4" w:rsidRDefault="001C2400" w:rsidP="0012479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2400" w:rsidRPr="00487EB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487EB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-3,4</w:t>
            </w: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487EB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C2400" w:rsidRPr="00487EB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110,5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2400" w:rsidRPr="00D21F5B" w:rsidRDefault="001C2400" w:rsidP="0012479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За 2021 год на территории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Глазовского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района несовершеннолетними совершено 3 преступления (в 2020 -2, +50,0%), удельный вес в общей структуре преступности составил 2,1% (в 2020 году- 1,9%,                по УР- 3,2%).</w:t>
            </w:r>
          </w:p>
          <w:p w:rsidR="001C2400" w:rsidRPr="00D21F5B" w:rsidRDefault="001C2400" w:rsidP="0012479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В ОДН МО МВД России «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Глазовский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на учёте состоит 28</w:t>
            </w:r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несовершеннолетних, проживающих в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(в 2020 -34), из них с</w:t>
            </w:r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овершивших правонарушение, в том числе до достижения административно наказуемого возраста – 3 (с. Октябрьский,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д</w:t>
            </w:r>
            <w:proofErr w:type="gram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.Т</w:t>
            </w:r>
            <w:proofErr w:type="gram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рубашур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, Понино), за употребление спиртных напитков – 13 </w:t>
            </w:r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lastRenderedPageBreak/>
              <w:t>(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Кочишево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-1,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с.Октябрьский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2, с.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Парзи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1, д.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Золотарево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2, д.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Т.Парзи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1,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д.В.Слудка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2,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с</w:t>
            </w:r>
            <w:proofErr w:type="gram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.П</w:t>
            </w:r>
            <w:proofErr w:type="gram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онино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4), за антиобщественное поведение – 8 (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с.Понино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3, из них детский дом – 2,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д.Штанигурт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1, д.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Качкашур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1, с.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Парзи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2,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Удм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. Ключи), совершивших общественно опасные деяния до достижения возраста уголовной ответственности – 2 (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с</w:t>
            </w:r>
            <w:proofErr w:type="gram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.П</w:t>
            </w:r>
            <w:proofErr w:type="gram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онино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1,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д.Трубашур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– 1), привлекается к уголовной ответственности – 1 (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д.Коротаево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), осужден -1 (д.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Золотарево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).</w:t>
            </w:r>
          </w:p>
        </w:tc>
      </w:tr>
      <w:tr w:rsidR="001C2400" w:rsidRPr="00EB0324" w:rsidTr="00124793">
        <w:trPr>
          <w:trHeight w:val="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2400" w:rsidRPr="00487EB4" w:rsidRDefault="001C2400" w:rsidP="00124793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</w:rPr>
              <w:t>Правонарушения среди лиц, ранее совершавших преступление</w:t>
            </w: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53,77</w:t>
            </w: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64,0</w:t>
            </w: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69,6</w:t>
            </w: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+5,6</w:t>
            </w: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108,8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C2400" w:rsidRPr="00487EB4" w:rsidRDefault="001C2400" w:rsidP="00124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129,4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2400" w:rsidRPr="00D21F5B" w:rsidRDefault="001C2400" w:rsidP="00124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Лицами, ранее совершавшими преступления, на территории </w:t>
            </w:r>
            <w:proofErr w:type="spell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за 2021 год совершено 96 преступлений (в 2020 году-57). Удельный вес преступлений, совершенных лицами, ранее совершавшими, составил 69,6% (в 2020 году-53,77%, по УР -70,7%).</w:t>
            </w:r>
          </w:p>
          <w:p w:rsidR="001C2400" w:rsidRDefault="001C2400" w:rsidP="0012479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Анализируя структуру преступности данного </w:t>
            </w:r>
            <w:proofErr w:type="gramStart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вида</w:t>
            </w:r>
            <w:proofErr w:type="gramEnd"/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следует отметить, что в общем массиве преступности основная часть - преступления превентивной направленности и преступления, предусмотренные ст. 264.1 УК РФ – у</w:t>
            </w:r>
            <w:hyperlink r:id="rId6" w:history="1">
              <w:r w:rsidRPr="00D21F5B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eastAsia="x-none"/>
                </w:rPr>
                <w:t>правление</w:t>
              </w:r>
            </w:hyperlink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транспортным средством лицом, находящимся в состоянии опьянения, подвергнутым административному наказанию за управление транспортным средством в состоянии опьянения, то есть преступления, инициативно выявленные сотрудниками полиции. </w:t>
            </w:r>
          </w:p>
          <w:p w:rsidR="001C2400" w:rsidRPr="00D21F5B" w:rsidRDefault="001C2400" w:rsidP="00124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</w:p>
        </w:tc>
      </w:tr>
      <w:tr w:rsidR="001C2400" w:rsidRPr="00EB0324" w:rsidTr="00124793">
        <w:trPr>
          <w:trHeight w:val="300"/>
        </w:trPr>
        <w:tc>
          <w:tcPr>
            <w:tcW w:w="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0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1C2400" w:rsidRPr="0099118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8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«Гармонизация межэтнических отношений, участие в профилактике терроризма и экстремизма»</w:t>
            </w:r>
          </w:p>
        </w:tc>
      </w:tr>
      <w:tr w:rsidR="001C2400" w:rsidRPr="00EB0324" w:rsidTr="00124793">
        <w:trPr>
          <w:trHeight w:val="19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2400" w:rsidRPr="00EB0324" w:rsidRDefault="001C2400" w:rsidP="0012479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Глазовского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района,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B0324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B0324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6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+1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120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100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C2400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Открыт Центр русского фольклора на базе </w:t>
            </w:r>
            <w:proofErr w:type="spell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Дзякинского</w:t>
            </w:r>
            <w:proofErr w:type="spell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СДК</w:t>
            </w:r>
          </w:p>
          <w:p w:rsidR="001C2400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C2400" w:rsidRPr="00EB0324" w:rsidTr="00124793">
        <w:trPr>
          <w:trHeight w:val="19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2400" w:rsidRPr="00EB0324" w:rsidRDefault="001C2400" w:rsidP="0012479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proofErr w:type="spellStart"/>
            <w:proofErr w:type="gram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/чел.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BE04A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E04A4">
              <w:rPr>
                <w:rFonts w:ascii="Times New Roman" w:eastAsia="Calibri" w:hAnsi="Times New Roman" w:cs="Times New Roman"/>
                <w:sz w:val="18"/>
                <w:szCs w:val="18"/>
              </w:rPr>
              <w:t>283/16286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250/</w:t>
            </w:r>
          </w:p>
          <w:p w:rsidR="001C2400" w:rsidRDefault="001C2400" w:rsidP="0012479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151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</w:t>
            </w:r>
          </w:p>
          <w:p w:rsidR="001C2400" w:rsidRDefault="001C2400" w:rsidP="0012479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1C2400" w:rsidRPr="00EB0324" w:rsidRDefault="001C2400" w:rsidP="0012479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6A60">
              <w:rPr>
                <w:rFonts w:ascii="Calibri" w:eastAsia="Calibri" w:hAnsi="Calibri" w:cs="Times New Roman"/>
                <w:sz w:val="18"/>
                <w:szCs w:val="18"/>
              </w:rPr>
              <w:t>457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/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6A60">
              <w:rPr>
                <w:rFonts w:ascii="Calibri" w:eastAsia="Calibri" w:hAnsi="Calibri" w:cs="Times New Roman"/>
                <w:sz w:val="18"/>
                <w:szCs w:val="18"/>
              </w:rPr>
              <w:t>24017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+207/8897</w:t>
            </w: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182,8/158,8</w:t>
            </w: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161,5/147,5</w:t>
            </w: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C2400" w:rsidRPr="00487EB4" w:rsidRDefault="001C2400" w:rsidP="00124793">
            <w:pPr>
              <w:spacing w:after="0" w:line="240" w:lineRule="auto"/>
              <w:ind w:right="111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1C2400" w:rsidRPr="00EB0324" w:rsidTr="00124793">
        <w:trPr>
          <w:trHeight w:val="26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400" w:rsidRPr="00EB0324" w:rsidRDefault="001C2400" w:rsidP="0012479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B0324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</w:t>
            </w: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2400" w:rsidRPr="00E026AB" w:rsidRDefault="001C2400" w:rsidP="00124793">
            <w:pPr>
              <w:shd w:val="clear" w:color="auto" w:fill="FFFFFF"/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lastRenderedPageBreak/>
              <w:t>-</w:t>
            </w:r>
            <w:r w:rsidRPr="00E026AB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линейки памяти событий в Казани</w:t>
            </w:r>
          </w:p>
          <w:p w:rsidR="001C2400" w:rsidRPr="00E026AB" w:rsidRDefault="001C2400" w:rsidP="00124793">
            <w:pPr>
              <w:shd w:val="clear" w:color="auto" w:fill="FFFFFF"/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E026AB">
              <w:rPr>
                <w:rFonts w:ascii="Times New Roman" w:eastAsia="Calibri" w:hAnsi="Times New Roman" w:cs="Times New Roman"/>
                <w:color w:val="FF0000"/>
              </w:rPr>
              <w:t xml:space="preserve">- </w:t>
            </w:r>
            <w:r w:rsidRPr="00E026AB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мероприятие «Единый урок по безопасности ив сети Интернет»</w:t>
            </w:r>
          </w:p>
          <w:p w:rsidR="001C2400" w:rsidRPr="00E026AB" w:rsidRDefault="001C2400" w:rsidP="00124793">
            <w:pPr>
              <w:shd w:val="clear" w:color="auto" w:fill="FFFFFF"/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E026AB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- акция, посвященная выводу войск с Афганистана  </w:t>
            </w:r>
          </w:p>
          <w:p w:rsidR="001C2400" w:rsidRPr="00E026AB" w:rsidRDefault="001C2400" w:rsidP="00124793">
            <w:pPr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E026AB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- месячник «Безопасности детей» (акция «Внимание дети»)  </w:t>
            </w:r>
          </w:p>
          <w:p w:rsidR="001C2400" w:rsidRPr="00E026AB" w:rsidRDefault="001C2400" w:rsidP="0012479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026A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- </w:t>
            </w:r>
            <w:r w:rsidRPr="00E026A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В День солидарности борьбы с  терроризмом 3 сентября во всех учреждениях состоялась  акция «Капля жизни»</w:t>
            </w:r>
          </w:p>
          <w:p w:rsidR="001C2400" w:rsidRPr="00E026AB" w:rsidRDefault="001C2400" w:rsidP="0012479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E026A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​- акция «»Безопасность превыше всего», посвященная месячнику борьбы с терроризмом</w:t>
            </w:r>
          </w:p>
          <w:p w:rsidR="001C2400" w:rsidRDefault="001C2400" w:rsidP="0012479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E026A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- День толерантности</w:t>
            </w:r>
          </w:p>
          <w:p w:rsidR="001C2400" w:rsidRPr="00E026AB" w:rsidRDefault="001C2400" w:rsidP="0012479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E026A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- </w:t>
            </w:r>
            <w:proofErr w:type="spellStart"/>
            <w:r w:rsidRPr="00E026A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квест</w:t>
            </w:r>
            <w:proofErr w:type="spellEnd"/>
            <w:r w:rsidRPr="00E026A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-игра для молодежи и детей «Безопасное лето»"</w:t>
            </w:r>
          </w:p>
          <w:p w:rsidR="001C2400" w:rsidRPr="00E026AB" w:rsidRDefault="001C2400" w:rsidP="0012479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E026A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 - Районный этап республиканского конкурса «</w:t>
            </w:r>
            <w:proofErr w:type="gramStart"/>
            <w:r w:rsidRPr="00E026A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Овеянные</w:t>
            </w:r>
            <w:proofErr w:type="gramEnd"/>
            <w:r w:rsidRPr="00E026A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 славой флаг наш и герб»</w:t>
            </w:r>
          </w:p>
          <w:p w:rsidR="001C2400" w:rsidRPr="00E026AB" w:rsidRDefault="001C2400" w:rsidP="0012479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E026A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lastRenderedPageBreak/>
              <w:t xml:space="preserve">- спортивный забег, посвященный Надежде Курченко </w:t>
            </w:r>
          </w:p>
          <w:p w:rsidR="001C2400" w:rsidRPr="00487EB4" w:rsidRDefault="001C2400" w:rsidP="0012479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026A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- районный этап республиканской акции «Герои нашего времени»  </w:t>
            </w:r>
          </w:p>
        </w:tc>
      </w:tr>
      <w:tr w:rsidR="001C2400" w:rsidRPr="00EB0324" w:rsidTr="00124793">
        <w:trPr>
          <w:trHeight w:val="132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400" w:rsidRPr="00D21F5B" w:rsidRDefault="001C2400" w:rsidP="0012479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450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590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449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141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76,1 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99,7 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 связи с выбором родителей  родного русского языка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уменьшением количества обучающихся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C2400" w:rsidRPr="00EB0324" w:rsidTr="00124793">
        <w:trPr>
          <w:trHeight w:val="139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2400" w:rsidRPr="00EB0324" w:rsidRDefault="001C2400" w:rsidP="00124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400" w:rsidRPr="00D21F5B" w:rsidRDefault="001C2400" w:rsidP="0012479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511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2400" w:rsidRPr="00EB0324" w:rsidRDefault="001C2400" w:rsidP="0012479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B0324">
              <w:rPr>
                <w:rFonts w:ascii="Calibri" w:eastAsia="Calibri" w:hAnsi="Calibri" w:cs="Times New Roman"/>
                <w:sz w:val="18"/>
                <w:szCs w:val="18"/>
              </w:rPr>
              <w:t>320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511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191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159,6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C2400" w:rsidRPr="00EB0324" w:rsidRDefault="001C2400" w:rsidP="0012479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114,3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Курс Основы духовной культуры народов России начали изучать учащиеся 5 классов</w:t>
            </w: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2400" w:rsidRPr="00EB0324" w:rsidRDefault="001C2400" w:rsidP="0012479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C2400" w:rsidRDefault="001C2400" w:rsidP="001C240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075A" w:rsidRDefault="0032075A">
      <w:bookmarkStart w:id="0" w:name="_GoBack"/>
      <w:bookmarkEnd w:id="0"/>
    </w:p>
    <w:sectPr w:rsidR="0032075A" w:rsidSect="001C240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00"/>
    <w:rsid w:val="001C2400"/>
    <w:rsid w:val="0032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ндартный мой"/>
    <w:basedOn w:val="a"/>
    <w:rsid w:val="001C240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1C240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ндартный мой"/>
    <w:basedOn w:val="a"/>
    <w:rsid w:val="001C240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1C240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BDCA5E71CDBCBE5C5480D96DD7CFA39267C5064B69789D085A8EEA04FC163567B1CDF43F3CB134s8D6E" TargetMode="Externa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2022-05-20T12:31:00Z</dcterms:created>
  <dcterms:modified xsi:type="dcterms:W3CDTF">2022-05-20T12:34:00Z</dcterms:modified>
</cp:coreProperties>
</file>