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90" w:rsidRPr="00C809FE" w:rsidRDefault="00733490" w:rsidP="00733490">
      <w:pPr>
        <w:jc w:val="center"/>
        <w:outlineLvl w:val="0"/>
        <w:rPr>
          <w:b/>
        </w:rPr>
      </w:pPr>
      <w:r w:rsidRPr="00C809FE">
        <w:rPr>
          <w:b/>
        </w:rPr>
        <w:t>УПРАВЛЕНИЕ ФИНАНСОВ АДМИНИСТРАЦИИ</w:t>
      </w:r>
    </w:p>
    <w:p w:rsidR="00733490" w:rsidRPr="00C809FE" w:rsidRDefault="00733490" w:rsidP="00733490">
      <w:pPr>
        <w:jc w:val="center"/>
        <w:rPr>
          <w:b/>
        </w:rPr>
      </w:pPr>
      <w:r w:rsidRPr="00C809FE">
        <w:rPr>
          <w:b/>
        </w:rPr>
        <w:t>МУНИЦИПАЛЬНОГО ОБРАЗОВАНИЯ «МУНИЦИПАЛЬНЫЙ ОКРУГ ГЛАЗОВСКИЙ РАЙОН УДМУРТСКОЙ РЕСПУБЛИКИ»</w:t>
      </w:r>
    </w:p>
    <w:p w:rsidR="00733490" w:rsidRPr="00C809FE" w:rsidRDefault="00733490" w:rsidP="00733490">
      <w:pPr>
        <w:jc w:val="center"/>
      </w:pPr>
    </w:p>
    <w:p w:rsidR="00733490" w:rsidRPr="00C809FE" w:rsidRDefault="00733490" w:rsidP="00733490">
      <w:pPr>
        <w:jc w:val="center"/>
        <w:outlineLvl w:val="0"/>
        <w:rPr>
          <w:b/>
        </w:rPr>
      </w:pPr>
      <w:r w:rsidRPr="00C809FE">
        <w:rPr>
          <w:b/>
        </w:rPr>
        <w:t>«УДМУРТ ЭЛЬКУНЫСЬ ГЛАЗ ËРОС МУНИЦИПАЛ ОКРУГ» МУНИЦИПАЛ КЫЛДЫТЭТ АДМИНИСТРАЦИЫСЬ КОНЬДОН УЖПУМЪЁСЪЯ КИВАЛТОННИ</w:t>
      </w:r>
    </w:p>
    <w:p w:rsidR="00733490" w:rsidRPr="00C809FE" w:rsidRDefault="00733490" w:rsidP="00733490">
      <w:pPr>
        <w:jc w:val="center"/>
      </w:pPr>
    </w:p>
    <w:p w:rsidR="00733490" w:rsidRPr="00C809FE" w:rsidRDefault="00733490" w:rsidP="00733490">
      <w:pPr>
        <w:jc w:val="center"/>
        <w:rPr>
          <w:b/>
        </w:rPr>
      </w:pPr>
      <w:r w:rsidRPr="00C809FE">
        <w:rPr>
          <w:b/>
        </w:rPr>
        <w:t>ПРИКАЗ</w:t>
      </w:r>
    </w:p>
    <w:p w:rsidR="00733490" w:rsidRPr="00C809FE" w:rsidRDefault="00733490" w:rsidP="0073349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5"/>
        <w:gridCol w:w="478"/>
        <w:gridCol w:w="1790"/>
      </w:tblGrid>
      <w:tr w:rsidR="00733490" w:rsidRPr="00C809FE" w:rsidTr="00E202AE">
        <w:tc>
          <w:tcPr>
            <w:tcW w:w="7035" w:type="dxa"/>
            <w:hideMark/>
          </w:tcPr>
          <w:p w:rsidR="00733490" w:rsidRPr="00C809FE" w:rsidRDefault="00EE4E0C" w:rsidP="00F82627">
            <w:pPr>
              <w:rPr>
                <w:bCs/>
                <w:lang w:val="en-US"/>
              </w:rPr>
            </w:pPr>
            <w:r>
              <w:rPr>
                <w:bCs/>
              </w:rPr>
              <w:t>о</w:t>
            </w:r>
            <w:r w:rsidR="00733490" w:rsidRPr="00C809FE">
              <w:rPr>
                <w:bCs/>
              </w:rPr>
              <w:t xml:space="preserve">т </w:t>
            </w:r>
            <w:r w:rsidR="00F82627">
              <w:rPr>
                <w:bCs/>
              </w:rPr>
              <w:t>24</w:t>
            </w:r>
            <w:r w:rsidR="00733490">
              <w:rPr>
                <w:bCs/>
              </w:rPr>
              <w:t xml:space="preserve"> </w:t>
            </w:r>
            <w:r w:rsidR="00F82627">
              <w:rPr>
                <w:bCs/>
              </w:rPr>
              <w:t>октября</w:t>
            </w:r>
            <w:r w:rsidR="00733490" w:rsidRPr="00C809FE">
              <w:rPr>
                <w:bCs/>
              </w:rPr>
              <w:t xml:space="preserve">  202</w:t>
            </w:r>
            <w:r w:rsidR="00751FD1">
              <w:rPr>
                <w:bCs/>
              </w:rPr>
              <w:t>3</w:t>
            </w:r>
            <w:r w:rsidR="00733490" w:rsidRPr="00C809FE">
              <w:rPr>
                <w:bCs/>
              </w:rPr>
              <w:t xml:space="preserve"> года</w:t>
            </w:r>
          </w:p>
        </w:tc>
        <w:tc>
          <w:tcPr>
            <w:tcW w:w="478" w:type="dxa"/>
          </w:tcPr>
          <w:p w:rsidR="00733490" w:rsidRPr="00C809FE" w:rsidRDefault="00733490" w:rsidP="00E202AE"/>
        </w:tc>
        <w:tc>
          <w:tcPr>
            <w:tcW w:w="1790" w:type="dxa"/>
            <w:hideMark/>
          </w:tcPr>
          <w:p w:rsidR="00733490" w:rsidRPr="00C809FE" w:rsidRDefault="00733490" w:rsidP="00F82627">
            <w:r w:rsidRPr="00C809FE">
              <w:t xml:space="preserve">                  № </w:t>
            </w:r>
            <w:r w:rsidR="0082570F">
              <w:t>46</w:t>
            </w:r>
            <w:bookmarkStart w:id="0" w:name="_GoBack"/>
            <w:bookmarkEnd w:id="0"/>
          </w:p>
        </w:tc>
      </w:tr>
    </w:tbl>
    <w:p w:rsidR="00733490" w:rsidRPr="00C809FE" w:rsidRDefault="00733490" w:rsidP="00733490">
      <w:pPr>
        <w:jc w:val="center"/>
        <w:rPr>
          <w:b/>
        </w:rPr>
      </w:pPr>
      <w:r w:rsidRPr="00C809FE">
        <w:rPr>
          <w:b/>
        </w:rPr>
        <w:t xml:space="preserve">г. Глазов </w:t>
      </w:r>
    </w:p>
    <w:p w:rsidR="00733490" w:rsidRPr="00C809FE" w:rsidRDefault="00733490" w:rsidP="00733490">
      <w:pPr>
        <w:jc w:val="center"/>
        <w:rPr>
          <w:b/>
        </w:rPr>
      </w:pPr>
    </w:p>
    <w:p w:rsidR="00733490" w:rsidRPr="00C809FE" w:rsidRDefault="00733490" w:rsidP="00733490"/>
    <w:p w:rsidR="00751FD1" w:rsidRDefault="00733490" w:rsidP="00733490">
      <w:pPr>
        <w:pStyle w:val="ConsPlusTitle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51FD1">
        <w:rPr>
          <w:rFonts w:ascii="Times New Roman" w:hAnsi="Times New Roman" w:cs="Times New Roman"/>
          <w:sz w:val="24"/>
          <w:szCs w:val="24"/>
        </w:rPr>
        <w:t>б утверждении</w:t>
      </w:r>
      <w:r w:rsidRPr="00C809FE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751FD1">
        <w:rPr>
          <w:rFonts w:ascii="Times New Roman" w:hAnsi="Times New Roman" w:cs="Times New Roman"/>
          <w:sz w:val="24"/>
          <w:szCs w:val="24"/>
        </w:rPr>
        <w:t>а</w:t>
      </w:r>
      <w:r w:rsidRPr="00C809FE">
        <w:rPr>
          <w:rFonts w:ascii="Times New Roman" w:hAnsi="Times New Roman" w:cs="Times New Roman"/>
          <w:sz w:val="24"/>
          <w:szCs w:val="24"/>
        </w:rPr>
        <w:t xml:space="preserve"> </w:t>
      </w:r>
      <w:r w:rsidR="00751FD1">
        <w:rPr>
          <w:rFonts w:ascii="Times New Roman" w:hAnsi="Times New Roman" w:cs="Times New Roman"/>
          <w:sz w:val="24"/>
          <w:szCs w:val="24"/>
        </w:rPr>
        <w:t>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490" w:rsidRDefault="00733490" w:rsidP="00733490">
      <w:pPr>
        <w:pStyle w:val="ConsPlusTitle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51FD1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FD1">
        <w:rPr>
          <w:rFonts w:ascii="Times New Roman" w:hAnsi="Times New Roman" w:cs="Times New Roman"/>
          <w:sz w:val="24"/>
          <w:szCs w:val="24"/>
        </w:rPr>
        <w:t>информации и документов</w:t>
      </w:r>
    </w:p>
    <w:p w:rsidR="00751FD1" w:rsidRDefault="00751FD1" w:rsidP="00733490">
      <w:pPr>
        <w:pStyle w:val="ConsPlusTitle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включения в реестр участников бюджетного</w:t>
      </w:r>
    </w:p>
    <w:p w:rsidR="00751FD1" w:rsidRDefault="00751FD1" w:rsidP="00733490">
      <w:pPr>
        <w:pStyle w:val="ConsPlusTitle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процесса, а также юридических лиц, не являющихся</w:t>
      </w:r>
    </w:p>
    <w:p w:rsidR="00450748" w:rsidRDefault="00733490" w:rsidP="00733490">
      <w:pPr>
        <w:pStyle w:val="ConsPlusTitl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1FD1">
        <w:rPr>
          <w:rFonts w:ascii="Times New Roman" w:hAnsi="Times New Roman" w:cs="Times New Roman"/>
          <w:sz w:val="24"/>
          <w:szCs w:val="24"/>
        </w:rPr>
        <w:t>участник</w:t>
      </w:r>
      <w:r w:rsidR="00751FD1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бюджетного процесса </w:t>
      </w:r>
      <w:r w:rsidR="0045074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450748" w:rsidRDefault="00450748" w:rsidP="00733490">
      <w:pPr>
        <w:pStyle w:val="ConsPlusTitle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</w:t>
      </w:r>
    </w:p>
    <w:p w:rsidR="00733490" w:rsidRDefault="00450748" w:rsidP="00733490">
      <w:pPr>
        <w:pStyle w:val="ConsPlusTitle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4F4AAC" w:rsidRPr="00450748" w:rsidRDefault="004F4AAC" w:rsidP="004F4AAC">
      <w:pPr>
        <w:pStyle w:val="ConsPlusTitle"/>
        <w:jc w:val="center"/>
        <w:rPr>
          <w:sz w:val="24"/>
          <w:szCs w:val="24"/>
        </w:rPr>
      </w:pPr>
    </w:p>
    <w:p w:rsidR="004F4AAC" w:rsidRPr="00450748" w:rsidRDefault="004F4AAC" w:rsidP="004F4AAC">
      <w:pPr>
        <w:pStyle w:val="ConsPlusNormal"/>
        <w:ind w:firstLine="540"/>
        <w:jc w:val="both"/>
        <w:rPr>
          <w:rFonts w:ascii="Traditional Arabic" w:hAnsi="Traditional Arabic" w:cs="Traditional Arabic"/>
          <w:sz w:val="24"/>
          <w:szCs w:val="24"/>
        </w:rPr>
      </w:pPr>
      <w:r w:rsidRPr="00450748">
        <w:rPr>
          <w:rFonts w:ascii="Times New Roman" w:hAnsi="Times New Roman" w:cs="Times New Roman"/>
          <w:sz w:val="24"/>
          <w:szCs w:val="24"/>
        </w:rPr>
        <w:t>В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целях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gramStart"/>
      <w:r w:rsidRPr="00450748">
        <w:rPr>
          <w:rFonts w:ascii="Times New Roman" w:hAnsi="Times New Roman" w:cs="Times New Roman"/>
          <w:sz w:val="24"/>
          <w:szCs w:val="24"/>
        </w:rPr>
        <w:t>реализации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hyperlink r:id="rId6">
        <w:r w:rsidRPr="00450748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Министерства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финансов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Российской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от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23.12.2014 N 163</w:t>
      </w:r>
      <w:r w:rsidRPr="00450748">
        <w:rPr>
          <w:rFonts w:ascii="Times New Roman" w:hAnsi="Times New Roman" w:cs="Times New Roman"/>
          <w:sz w:val="24"/>
          <w:szCs w:val="24"/>
        </w:rPr>
        <w:t>н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"</w:t>
      </w:r>
      <w:r w:rsidRPr="00450748">
        <w:rPr>
          <w:rFonts w:ascii="Times New Roman" w:hAnsi="Times New Roman" w:cs="Times New Roman"/>
          <w:sz w:val="24"/>
          <w:szCs w:val="24"/>
        </w:rPr>
        <w:t>О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Порядке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формирования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и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ведения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реестра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участников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бюджетного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процесса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, </w:t>
      </w:r>
      <w:r w:rsidRPr="00450748">
        <w:rPr>
          <w:rFonts w:ascii="Times New Roman" w:hAnsi="Times New Roman" w:cs="Times New Roman"/>
          <w:sz w:val="24"/>
          <w:szCs w:val="24"/>
        </w:rPr>
        <w:t>а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также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юридических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лиц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, </w:t>
      </w:r>
      <w:r w:rsidRPr="00450748">
        <w:rPr>
          <w:rFonts w:ascii="Times New Roman" w:hAnsi="Times New Roman" w:cs="Times New Roman"/>
          <w:sz w:val="24"/>
          <w:szCs w:val="24"/>
        </w:rPr>
        <w:t>не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являющихся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участниками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бюджетного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процесса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" </w:t>
      </w:r>
      <w:r w:rsidRPr="00450748">
        <w:rPr>
          <w:rFonts w:ascii="Times New Roman" w:hAnsi="Times New Roman" w:cs="Times New Roman"/>
          <w:sz w:val="24"/>
          <w:szCs w:val="24"/>
        </w:rPr>
        <w:t>приказываю</w:t>
      </w:r>
      <w:r w:rsidRPr="00450748">
        <w:rPr>
          <w:rFonts w:ascii="Traditional Arabic" w:hAnsi="Traditional Arabic" w:cs="Traditional Arabic"/>
          <w:sz w:val="24"/>
          <w:szCs w:val="24"/>
        </w:rPr>
        <w:t>:</w:t>
      </w:r>
    </w:p>
    <w:p w:rsidR="004F4AAC" w:rsidRPr="00450748" w:rsidRDefault="004F4AAC" w:rsidP="004F4AAC">
      <w:pPr>
        <w:pStyle w:val="ConsPlusNormal"/>
        <w:spacing w:before="220"/>
        <w:ind w:firstLine="540"/>
        <w:jc w:val="both"/>
        <w:rPr>
          <w:rFonts w:ascii="Traditional Arabic" w:hAnsi="Traditional Arabic" w:cs="Traditional Arabic"/>
          <w:sz w:val="24"/>
          <w:szCs w:val="24"/>
        </w:rPr>
      </w:pPr>
      <w:r w:rsidRPr="00450748">
        <w:rPr>
          <w:rFonts w:ascii="Traditional Arabic" w:hAnsi="Traditional Arabic" w:cs="Traditional Arabic"/>
          <w:sz w:val="24"/>
          <w:szCs w:val="24"/>
        </w:rPr>
        <w:t xml:space="preserve">1. </w:t>
      </w:r>
      <w:r w:rsidRPr="00450748">
        <w:rPr>
          <w:rFonts w:ascii="Times New Roman" w:hAnsi="Times New Roman" w:cs="Times New Roman"/>
          <w:sz w:val="24"/>
          <w:szCs w:val="24"/>
        </w:rPr>
        <w:t>Утвердить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прилагаемый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hyperlink w:anchor="P35">
        <w:r w:rsidRPr="00450748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формирования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и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представления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информации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и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документов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для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включения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в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реестр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участников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бюджетного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процесса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, </w:t>
      </w:r>
      <w:r w:rsidRPr="00450748">
        <w:rPr>
          <w:rFonts w:ascii="Times New Roman" w:hAnsi="Times New Roman" w:cs="Times New Roman"/>
          <w:sz w:val="24"/>
          <w:szCs w:val="24"/>
        </w:rPr>
        <w:t>а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также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юридических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лиц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, </w:t>
      </w:r>
      <w:r w:rsidRPr="00450748">
        <w:rPr>
          <w:rFonts w:ascii="Times New Roman" w:hAnsi="Times New Roman" w:cs="Times New Roman"/>
          <w:sz w:val="24"/>
          <w:szCs w:val="24"/>
        </w:rPr>
        <w:t>не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являющихся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участниками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бюджетного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процесса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муниципального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образования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«</w:t>
      </w:r>
      <w:r w:rsidRPr="00450748">
        <w:rPr>
          <w:rFonts w:ascii="Times New Roman" w:hAnsi="Times New Roman" w:cs="Times New Roman"/>
          <w:sz w:val="24"/>
          <w:szCs w:val="24"/>
        </w:rPr>
        <w:t>Муниципальный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округ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45074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район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Удмуртской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Республики</w:t>
      </w:r>
      <w:r w:rsidRPr="00450748">
        <w:rPr>
          <w:rFonts w:ascii="Traditional Arabic" w:hAnsi="Traditional Arabic" w:cs="Traditional Arabic"/>
          <w:sz w:val="24"/>
          <w:szCs w:val="24"/>
        </w:rPr>
        <w:t>».</w:t>
      </w:r>
    </w:p>
    <w:p w:rsidR="004F4AAC" w:rsidRPr="00450748" w:rsidRDefault="004F4AAC" w:rsidP="004F4AAC">
      <w:pPr>
        <w:pStyle w:val="ConsPlusNormal"/>
        <w:spacing w:before="220"/>
        <w:ind w:firstLine="540"/>
        <w:jc w:val="both"/>
        <w:rPr>
          <w:rFonts w:ascii="Traditional Arabic" w:hAnsi="Traditional Arabic" w:cs="Traditional Arabic"/>
          <w:sz w:val="24"/>
          <w:szCs w:val="24"/>
        </w:rPr>
      </w:pPr>
      <w:r w:rsidRPr="00450748">
        <w:rPr>
          <w:rFonts w:ascii="Traditional Arabic" w:hAnsi="Traditional Arabic" w:cs="Traditional Arabic"/>
          <w:sz w:val="24"/>
          <w:szCs w:val="24"/>
        </w:rPr>
        <w:t xml:space="preserve">2. </w:t>
      </w:r>
      <w:r w:rsidRPr="00450748">
        <w:rPr>
          <w:rFonts w:ascii="Times New Roman" w:hAnsi="Times New Roman" w:cs="Times New Roman"/>
          <w:sz w:val="24"/>
          <w:szCs w:val="24"/>
        </w:rPr>
        <w:t>Признать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утратившими</w:t>
      </w:r>
      <w:r w:rsidRPr="00450748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450748">
        <w:rPr>
          <w:rFonts w:ascii="Times New Roman" w:hAnsi="Times New Roman" w:cs="Times New Roman"/>
          <w:sz w:val="24"/>
          <w:szCs w:val="24"/>
        </w:rPr>
        <w:t>силу</w:t>
      </w:r>
      <w:r w:rsidRPr="00450748">
        <w:rPr>
          <w:rFonts w:ascii="Traditional Arabic" w:hAnsi="Traditional Arabic" w:cs="Traditional Arabic"/>
          <w:sz w:val="24"/>
          <w:szCs w:val="24"/>
        </w:rPr>
        <w:t>:</w:t>
      </w:r>
    </w:p>
    <w:p w:rsidR="004F4AAC" w:rsidRPr="00450748" w:rsidRDefault="004F4AAC" w:rsidP="004F4AAC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450748">
        <w:rPr>
          <w:rFonts w:ascii="Times New Roman" w:hAnsi="Times New Roman" w:cs="Times New Roman"/>
          <w:sz w:val="24"/>
          <w:szCs w:val="24"/>
        </w:rPr>
        <w:t xml:space="preserve">приказ Управления финансов Администрации муниципального образования «Муниципальный округ </w:t>
      </w:r>
      <w:proofErr w:type="spellStart"/>
      <w:r w:rsidRPr="0045074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5074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12 августа 2022 года № 43 «О Порядке открытия и ведения лицевых счетов участников бюджетного процесса в муниципальном образовании «Муниципальный округ </w:t>
      </w:r>
      <w:proofErr w:type="spellStart"/>
      <w:r w:rsidRPr="0045074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450748">
        <w:rPr>
          <w:rFonts w:ascii="Times New Roman" w:hAnsi="Times New Roman" w:cs="Times New Roman"/>
          <w:sz w:val="24"/>
          <w:szCs w:val="24"/>
        </w:rPr>
        <w:t xml:space="preserve"> район Удмуртской  Республики»</w:t>
      </w:r>
    </w:p>
    <w:p w:rsidR="004F4AAC" w:rsidRPr="00450748" w:rsidRDefault="004F4AAC" w:rsidP="004F4AAC">
      <w:pPr>
        <w:pStyle w:val="ConsPlusTitl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4AAC" w:rsidRPr="00450748" w:rsidRDefault="004F4AAC" w:rsidP="004F4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74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507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0748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начальника Управления финансов Никитину Ю.В.</w:t>
      </w:r>
    </w:p>
    <w:p w:rsidR="004F4AAC" w:rsidRDefault="004F4AAC" w:rsidP="004F4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748">
        <w:rPr>
          <w:rFonts w:ascii="Times New Roman" w:hAnsi="Times New Roman" w:cs="Times New Roman"/>
          <w:sz w:val="24"/>
          <w:szCs w:val="24"/>
        </w:rPr>
        <w:t>4. Настоящий приказ вступает в силу с момента его подписания и распространяется на правоотношения, возникшие с 1 января 2023 года.</w:t>
      </w:r>
    </w:p>
    <w:p w:rsidR="00475D82" w:rsidRDefault="00475D82" w:rsidP="004F4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D82" w:rsidRPr="00450748" w:rsidRDefault="00475D82" w:rsidP="004F4A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4AAC" w:rsidRPr="00450748" w:rsidRDefault="004F4AAC" w:rsidP="004F4A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AAC" w:rsidRPr="00450748" w:rsidRDefault="004F4AAC" w:rsidP="004F4A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0748">
        <w:rPr>
          <w:rFonts w:ascii="Times New Roman" w:hAnsi="Times New Roman" w:cs="Times New Roman"/>
          <w:sz w:val="24"/>
          <w:szCs w:val="24"/>
        </w:rPr>
        <w:t>Начальник Управления финансов</w:t>
      </w:r>
      <w:r w:rsidRPr="00450748">
        <w:rPr>
          <w:rFonts w:ascii="Times New Roman" w:hAnsi="Times New Roman" w:cs="Times New Roman"/>
          <w:sz w:val="24"/>
          <w:szCs w:val="24"/>
        </w:rPr>
        <w:tab/>
      </w:r>
      <w:r w:rsidRPr="00450748">
        <w:rPr>
          <w:rFonts w:ascii="Times New Roman" w:hAnsi="Times New Roman" w:cs="Times New Roman"/>
          <w:sz w:val="24"/>
          <w:szCs w:val="24"/>
        </w:rPr>
        <w:tab/>
      </w:r>
      <w:r w:rsidRPr="00450748">
        <w:rPr>
          <w:rFonts w:ascii="Times New Roman" w:hAnsi="Times New Roman" w:cs="Times New Roman"/>
          <w:sz w:val="24"/>
          <w:szCs w:val="24"/>
        </w:rPr>
        <w:tab/>
      </w:r>
      <w:r w:rsidRPr="00450748">
        <w:rPr>
          <w:rFonts w:ascii="Times New Roman" w:hAnsi="Times New Roman" w:cs="Times New Roman"/>
          <w:sz w:val="24"/>
          <w:szCs w:val="24"/>
        </w:rPr>
        <w:tab/>
      </w:r>
      <w:r w:rsidRPr="00450748">
        <w:rPr>
          <w:rFonts w:ascii="Times New Roman" w:hAnsi="Times New Roman" w:cs="Times New Roman"/>
          <w:sz w:val="24"/>
          <w:szCs w:val="24"/>
        </w:rPr>
        <w:tab/>
      </w:r>
      <w:r w:rsidRPr="004507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0748">
        <w:rPr>
          <w:rFonts w:ascii="Times New Roman" w:hAnsi="Times New Roman" w:cs="Times New Roman"/>
          <w:sz w:val="24"/>
          <w:szCs w:val="24"/>
        </w:rPr>
        <w:t>Н.Н.Поздеева</w:t>
      </w:r>
      <w:proofErr w:type="spellEnd"/>
    </w:p>
    <w:p w:rsidR="004F4AAC" w:rsidRDefault="004F4AAC" w:rsidP="004F4AAC">
      <w:pPr>
        <w:pStyle w:val="ConsPlusNormal"/>
        <w:jc w:val="right"/>
        <w:outlineLvl w:val="0"/>
        <w:rPr>
          <w:sz w:val="24"/>
          <w:szCs w:val="24"/>
        </w:rPr>
      </w:pPr>
    </w:p>
    <w:p w:rsidR="00450748" w:rsidRDefault="00450748" w:rsidP="004F4AAC">
      <w:pPr>
        <w:pStyle w:val="ConsPlusNormal"/>
        <w:jc w:val="right"/>
        <w:outlineLvl w:val="0"/>
        <w:rPr>
          <w:sz w:val="24"/>
          <w:szCs w:val="24"/>
        </w:rPr>
      </w:pPr>
    </w:p>
    <w:p w:rsidR="001267CF" w:rsidRDefault="001267CF" w:rsidP="00D405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67CF" w:rsidRDefault="00D40530" w:rsidP="001267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40530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6B214F" w:rsidRPr="00D40530">
        <w:rPr>
          <w:rFonts w:ascii="Times New Roman" w:hAnsi="Times New Roman" w:cs="Times New Roman"/>
          <w:sz w:val="24"/>
          <w:szCs w:val="24"/>
        </w:rPr>
        <w:t>твержден</w:t>
      </w:r>
      <w:proofErr w:type="gramEnd"/>
      <w:r w:rsidR="001267CF">
        <w:rPr>
          <w:rFonts w:ascii="Times New Roman" w:hAnsi="Times New Roman" w:cs="Times New Roman"/>
          <w:sz w:val="24"/>
          <w:szCs w:val="24"/>
        </w:rPr>
        <w:t xml:space="preserve"> </w:t>
      </w:r>
      <w:r w:rsidR="006B214F" w:rsidRPr="00D40530">
        <w:rPr>
          <w:rFonts w:ascii="Times New Roman" w:hAnsi="Times New Roman" w:cs="Times New Roman"/>
          <w:sz w:val="24"/>
          <w:szCs w:val="24"/>
        </w:rPr>
        <w:t>приказом</w:t>
      </w:r>
    </w:p>
    <w:p w:rsidR="006B214F" w:rsidRPr="00D40530" w:rsidRDefault="00C60C83" w:rsidP="001267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0530">
        <w:rPr>
          <w:rFonts w:ascii="Times New Roman" w:hAnsi="Times New Roman" w:cs="Times New Roman"/>
          <w:sz w:val="24"/>
          <w:szCs w:val="24"/>
        </w:rPr>
        <w:t>Управления</w:t>
      </w:r>
      <w:r w:rsidR="006B214F" w:rsidRPr="00D40530">
        <w:rPr>
          <w:rFonts w:ascii="Times New Roman" w:hAnsi="Times New Roman" w:cs="Times New Roman"/>
          <w:sz w:val="24"/>
          <w:szCs w:val="24"/>
        </w:rPr>
        <w:t xml:space="preserve"> финансов</w:t>
      </w:r>
    </w:p>
    <w:p w:rsidR="006B214F" w:rsidRPr="00D40530" w:rsidRDefault="006B214F" w:rsidP="00D405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0530">
        <w:rPr>
          <w:rFonts w:ascii="Times New Roman" w:hAnsi="Times New Roman" w:cs="Times New Roman"/>
          <w:sz w:val="24"/>
          <w:szCs w:val="24"/>
        </w:rPr>
        <w:t xml:space="preserve">от </w:t>
      </w:r>
      <w:r w:rsidR="00F82627">
        <w:rPr>
          <w:rFonts w:ascii="Times New Roman" w:hAnsi="Times New Roman" w:cs="Times New Roman"/>
          <w:sz w:val="24"/>
          <w:szCs w:val="24"/>
        </w:rPr>
        <w:t>24</w:t>
      </w:r>
      <w:r w:rsidRPr="00D40530">
        <w:rPr>
          <w:rFonts w:ascii="Times New Roman" w:hAnsi="Times New Roman" w:cs="Times New Roman"/>
          <w:sz w:val="24"/>
          <w:szCs w:val="24"/>
        </w:rPr>
        <w:t xml:space="preserve"> </w:t>
      </w:r>
      <w:r w:rsidR="00F82627">
        <w:rPr>
          <w:rFonts w:ascii="Times New Roman" w:hAnsi="Times New Roman" w:cs="Times New Roman"/>
          <w:sz w:val="24"/>
          <w:szCs w:val="24"/>
        </w:rPr>
        <w:t>октября</w:t>
      </w:r>
      <w:r w:rsidRPr="00D40530">
        <w:rPr>
          <w:rFonts w:ascii="Times New Roman" w:hAnsi="Times New Roman" w:cs="Times New Roman"/>
          <w:sz w:val="24"/>
          <w:szCs w:val="24"/>
        </w:rPr>
        <w:t xml:space="preserve"> 20</w:t>
      </w:r>
      <w:r w:rsidR="00C60C83" w:rsidRPr="00D40530">
        <w:rPr>
          <w:rFonts w:ascii="Times New Roman" w:hAnsi="Times New Roman" w:cs="Times New Roman"/>
          <w:sz w:val="24"/>
          <w:szCs w:val="24"/>
        </w:rPr>
        <w:t>2</w:t>
      </w:r>
      <w:r w:rsidR="00475D82">
        <w:rPr>
          <w:rFonts w:ascii="Times New Roman" w:hAnsi="Times New Roman" w:cs="Times New Roman"/>
          <w:sz w:val="24"/>
          <w:szCs w:val="24"/>
        </w:rPr>
        <w:t>3</w:t>
      </w:r>
      <w:r w:rsidRPr="00D40530">
        <w:rPr>
          <w:rFonts w:ascii="Times New Roman" w:hAnsi="Times New Roman" w:cs="Times New Roman"/>
          <w:sz w:val="24"/>
          <w:szCs w:val="24"/>
        </w:rPr>
        <w:t xml:space="preserve"> г. N </w:t>
      </w:r>
      <w:r w:rsidR="0082570F">
        <w:rPr>
          <w:rFonts w:ascii="Times New Roman" w:hAnsi="Times New Roman" w:cs="Times New Roman"/>
          <w:sz w:val="24"/>
          <w:szCs w:val="24"/>
        </w:rPr>
        <w:t>46</w:t>
      </w:r>
    </w:p>
    <w:p w:rsidR="001319DB" w:rsidRPr="001267CF" w:rsidRDefault="001319DB" w:rsidP="001319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ПОРЯДОК</w:t>
      </w:r>
    </w:p>
    <w:p w:rsidR="001319DB" w:rsidRPr="001267CF" w:rsidRDefault="001319DB" w:rsidP="001319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ФОРМИРОВАНИЯ И ПРЕДСТАВЛЕНИЯ ИНФОРМАЦИИ И ДОКУМЕНТОВ</w:t>
      </w:r>
    </w:p>
    <w:p w:rsidR="001319DB" w:rsidRPr="001267CF" w:rsidRDefault="001319DB" w:rsidP="001319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ДЛЯ ВКЛЮЧЕНИЯ В РЕЕСТР УЧАСТНИКОВ БЮДЖЕТНОГО ПРОЦЕССА,</w:t>
      </w:r>
    </w:p>
    <w:p w:rsidR="001319DB" w:rsidRPr="001267CF" w:rsidRDefault="001319DB" w:rsidP="001319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А ТАКЖЕ ЮРИДИЧЕСКИХ ЛИЦ, НЕ ЯВЛЯЮЩИХСЯ УЧАСТНИКАМИ</w:t>
      </w:r>
    </w:p>
    <w:p w:rsidR="001319DB" w:rsidRPr="001267CF" w:rsidRDefault="001319DB" w:rsidP="001319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БЮДЖЕТНОГО ПРОЦЕССА МУНИЦИПАЛЬНОГО ОБРАЗОВАНИЯ МУНИЦИПАЛЬНЫЙ ОКРУГ ГЛАЗОВСКИЙ РАЙОН УДМУРТСКОЙ РЕСПУБЛИКИ</w:t>
      </w:r>
    </w:p>
    <w:p w:rsidR="001319DB" w:rsidRPr="001267CF" w:rsidRDefault="001319DB" w:rsidP="00131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9DB" w:rsidRPr="001267CF" w:rsidRDefault="001319DB" w:rsidP="001319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319DB" w:rsidRPr="001267CF" w:rsidRDefault="001319DB" w:rsidP="00131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9DB" w:rsidRPr="001267CF" w:rsidRDefault="001319DB" w:rsidP="0013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267CF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представления в Управление финансов Администрации муниципального образования «Муниципальный округ </w:t>
      </w:r>
      <w:proofErr w:type="spellStart"/>
      <w:r w:rsidRPr="001267C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1267C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– Управление финансов) информации и документов в целях формирования и ведения реестра участников бюджетного процесса муниципального образования «Муниципальный округ </w:t>
      </w:r>
      <w:proofErr w:type="spellStart"/>
      <w:r w:rsidRPr="001267C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1267C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а также юридических лиц, не являющихся участниками бюджетного процесса муниципального образования «Муниципальный округ </w:t>
      </w:r>
      <w:proofErr w:type="spellStart"/>
      <w:r w:rsidRPr="001267C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1267C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в соответствии с</w:t>
      </w:r>
      <w:proofErr w:type="gramEnd"/>
      <w:r w:rsidRPr="001267CF"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 w:rsidRPr="001267CF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1267CF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23 декабря 2014 года N 163н "О Порядке формирования и ведения реестра участников бюджетного процесса, а также юридических лиц, не являющихся участниками бюджетного процесса" (далее соответственно - Сводный реестр, Порядок 163н).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2. В Управление финансов представляется информация и документы о следующих организациях (за исключением информации об индивидуальных предпринимателях и физических лицах - производителях товаров, работ, услуг) (далее - организации):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а) об участниках бюджетного процесса и их обособленных подразделениях (далее - участники бюджетного процесса):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об органах местного самоуправления;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 xml:space="preserve">муниципальных казенных </w:t>
      </w:r>
      <w:proofErr w:type="gramStart"/>
      <w:r w:rsidRPr="001267CF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1267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Pr="001267C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1267C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- казенные учреждения);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 xml:space="preserve">б) о юридических лицах, не являющихся участниками бюджетного процесса, и их обособленных подразделениях (далее - </w:t>
      </w:r>
      <w:proofErr w:type="spellStart"/>
      <w:r w:rsidRPr="001267CF">
        <w:rPr>
          <w:rFonts w:ascii="Times New Roman" w:hAnsi="Times New Roman" w:cs="Times New Roman"/>
          <w:sz w:val="24"/>
          <w:szCs w:val="24"/>
        </w:rPr>
        <w:t>неучастники</w:t>
      </w:r>
      <w:proofErr w:type="spellEnd"/>
      <w:r w:rsidRPr="001267CF">
        <w:rPr>
          <w:rFonts w:ascii="Times New Roman" w:hAnsi="Times New Roman" w:cs="Times New Roman"/>
          <w:sz w:val="24"/>
          <w:szCs w:val="24"/>
        </w:rPr>
        <w:t xml:space="preserve"> бюджетного процесса):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 xml:space="preserve">муниципальных автономных и бюджетных </w:t>
      </w:r>
      <w:proofErr w:type="gramStart"/>
      <w:r w:rsidRPr="001267CF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1267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Pr="001267C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1267C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- автономные (бюджетные) учреждения);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 xml:space="preserve">муниципальных унитарных </w:t>
      </w:r>
      <w:proofErr w:type="gramStart"/>
      <w:r w:rsidRPr="001267CF">
        <w:rPr>
          <w:rFonts w:ascii="Times New Roman" w:hAnsi="Times New Roman" w:cs="Times New Roman"/>
          <w:sz w:val="24"/>
          <w:szCs w:val="24"/>
        </w:rPr>
        <w:t>предприятиях</w:t>
      </w:r>
      <w:proofErr w:type="gramEnd"/>
      <w:r w:rsidRPr="001267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Pr="001267C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1267C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Республики»;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7CF">
        <w:rPr>
          <w:rFonts w:ascii="Times New Roman" w:hAnsi="Times New Roman" w:cs="Times New Roman"/>
          <w:sz w:val="24"/>
          <w:szCs w:val="24"/>
        </w:rPr>
        <w:t xml:space="preserve">в) о получателях средств из бюджета (за исключением муниципальных учреждений муниципального образования «Муниципальный округ </w:t>
      </w:r>
      <w:proofErr w:type="spellStart"/>
      <w:r w:rsidRPr="001267C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1267C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Республики»), получающих субсидии, бюджетные инвестиции из бюджета муниципального образования «Муниципальный округ </w:t>
      </w:r>
      <w:proofErr w:type="spellStart"/>
      <w:r w:rsidRPr="001267C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1267C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включенные в утверждаемый органом местного самоуправления перечень, и открывающих лицевые счета в Управлении финансов в соответствии с законодательством Российской Федерации, законодательством Удмуртской Республики,  иными правовыми актами органа местного</w:t>
      </w:r>
      <w:proofErr w:type="gramEnd"/>
      <w:r w:rsidRPr="001267CF">
        <w:rPr>
          <w:rFonts w:ascii="Times New Roman" w:hAnsi="Times New Roman" w:cs="Times New Roman"/>
          <w:sz w:val="24"/>
          <w:szCs w:val="24"/>
        </w:rPr>
        <w:t xml:space="preserve"> самоуправления (далее - иные юридические лица);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7CF">
        <w:rPr>
          <w:rFonts w:ascii="Times New Roman" w:hAnsi="Times New Roman" w:cs="Times New Roman"/>
          <w:sz w:val="24"/>
          <w:szCs w:val="24"/>
        </w:rPr>
        <w:t xml:space="preserve">г) об участниках казначейского сопровождения, юридических лицах, получающих </w:t>
      </w:r>
      <w:r w:rsidRPr="001267CF">
        <w:rPr>
          <w:rFonts w:ascii="Times New Roman" w:hAnsi="Times New Roman" w:cs="Times New Roman"/>
          <w:sz w:val="24"/>
          <w:szCs w:val="24"/>
        </w:rPr>
        <w:lastRenderedPageBreak/>
        <w:t xml:space="preserve">средства, определенные в соответствии со </w:t>
      </w:r>
      <w:hyperlink r:id="rId8">
        <w:r w:rsidRPr="001267CF">
          <w:rPr>
            <w:rFonts w:ascii="Times New Roman" w:hAnsi="Times New Roman" w:cs="Times New Roman"/>
            <w:color w:val="0000FF"/>
            <w:sz w:val="24"/>
            <w:szCs w:val="24"/>
          </w:rPr>
          <w:t>статьями 242.25</w:t>
        </w:r>
      </w:hyperlink>
      <w:r w:rsidRPr="001267C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>
        <w:r w:rsidRPr="001267CF">
          <w:rPr>
            <w:rFonts w:ascii="Times New Roman" w:hAnsi="Times New Roman" w:cs="Times New Roman"/>
            <w:color w:val="0000FF"/>
            <w:sz w:val="24"/>
            <w:szCs w:val="24"/>
          </w:rPr>
          <w:t>242.26</w:t>
        </w:r>
      </w:hyperlink>
      <w:r w:rsidRPr="001267C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и открывающих лицевые счета в Управлении финансов или в Управлении Федерального казначейства в соответствии с законодательством Российской Федерации, законодательством Удмуртской Республики, иными правовыми актами органа местного самоуправления (далее - участники казначейского сопровождения).</w:t>
      </w:r>
      <w:proofErr w:type="gramEnd"/>
    </w:p>
    <w:p w:rsidR="001319DB" w:rsidRPr="001267CF" w:rsidRDefault="001319DB" w:rsidP="00131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9DB" w:rsidRPr="001267CF" w:rsidRDefault="001319DB" w:rsidP="001319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2. Правила представления информации и документов</w:t>
      </w:r>
    </w:p>
    <w:p w:rsidR="001319DB" w:rsidRPr="001267CF" w:rsidRDefault="001319DB" w:rsidP="001319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для включения в Сводный реестр</w:t>
      </w:r>
    </w:p>
    <w:p w:rsidR="001319DB" w:rsidRPr="001267CF" w:rsidRDefault="001319DB" w:rsidP="00131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9DB" w:rsidRPr="001267CF" w:rsidRDefault="001319DB" w:rsidP="0013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3. Информация и документы для включения в Сводный реестр представляются в Управление финансов следующими организациями: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органами местного самоуправления;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казенными, автономными (бюджетными) учреждениями;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муниципальными унитарными предприятиями;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иными юридическими лицами;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участниками казначейского сопровождения.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 xml:space="preserve">4. В целях включения информации в Сводный реестр организации представляют в Управление финансов перечень информации (реквизитов) об организации - юридическом лице (далее - Перечень) согласно </w:t>
      </w:r>
      <w:hyperlink r:id="rId10">
        <w:r w:rsidRPr="001267CF">
          <w:rPr>
            <w:rFonts w:ascii="Times New Roman" w:hAnsi="Times New Roman" w:cs="Times New Roman"/>
            <w:color w:val="0000FF"/>
            <w:sz w:val="24"/>
            <w:szCs w:val="24"/>
          </w:rPr>
          <w:t>приложениям 1</w:t>
        </w:r>
      </w:hyperlink>
      <w:r w:rsidRPr="001267C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>
        <w:r w:rsidRPr="001267CF">
          <w:rPr>
            <w:rFonts w:ascii="Times New Roman" w:hAnsi="Times New Roman" w:cs="Times New Roman"/>
            <w:color w:val="0000FF"/>
            <w:sz w:val="24"/>
            <w:szCs w:val="24"/>
          </w:rPr>
          <w:t>3.1</w:t>
        </w:r>
      </w:hyperlink>
      <w:r w:rsidRPr="001267CF">
        <w:rPr>
          <w:rFonts w:ascii="Times New Roman" w:hAnsi="Times New Roman" w:cs="Times New Roman"/>
          <w:sz w:val="24"/>
          <w:szCs w:val="24"/>
        </w:rPr>
        <w:t xml:space="preserve"> к Порядку 163н.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Перечень формируется в соответствии с данными Единого государственного реестра юридических лиц, а также внутренними документами организации и персональными данными руководителя.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В случае включения информации в Сводный реестр об органах местного самоуправления, казенных учреждениях и унитарных предприятиях одновременно с Перечнем в Управление финансов представляются следующие документы: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копия Устава органа местного самоуправления, заверенная учредителем, либо нотариально, в случае включения информации в Сводный реестр об органе местного самоуправления;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копия учредительного документа организации, заверенная учредителем или нотариально (копия Положения об обособленном подразделении, заверенная создавшим его участником бюджетного процесса либо нотариально);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юридического лица в налоговом органе, заверенная учредителем, налоговым органом или нотариально;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копия уведомления органов статистики с кодами общероссийских классификаторов, заверенная учредителем;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копия приказа (выписки из приказа) о назначении на должность руководителя организации, заверенная органом, издавшим приказ;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копия страхового номера индивидуального лицевого счета в Фонде пенсионного и социального страхования Российской Федерации руководителя организации (далее - СНИЛС), заверенная руководителем организации.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7CF">
        <w:rPr>
          <w:rFonts w:ascii="Times New Roman" w:hAnsi="Times New Roman" w:cs="Times New Roman"/>
          <w:sz w:val="24"/>
          <w:szCs w:val="24"/>
        </w:rPr>
        <w:t xml:space="preserve">В случае включения информации в Сводный реестр об автономных (бюджетных) учреждениях, иных юридических лицах, участниках казначейского сопровождения Перечень представляется в Управление финансов одновременно с документами на открытие лицевых счетов в соответствии с </w:t>
      </w:r>
      <w:hyperlink r:id="rId12">
        <w:r w:rsidRPr="001267CF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1267CF">
        <w:rPr>
          <w:rFonts w:ascii="Times New Roman" w:hAnsi="Times New Roman" w:cs="Times New Roman"/>
          <w:sz w:val="24"/>
          <w:szCs w:val="24"/>
        </w:rPr>
        <w:t xml:space="preserve"> открытия и ведения лицевых счетов </w:t>
      </w:r>
      <w:r w:rsidRPr="001267CF">
        <w:rPr>
          <w:rFonts w:ascii="Times New Roman" w:hAnsi="Times New Roman" w:cs="Times New Roman"/>
          <w:sz w:val="24"/>
          <w:szCs w:val="24"/>
        </w:rPr>
        <w:lastRenderedPageBreak/>
        <w:t xml:space="preserve">бюджетных и автономных учреждений муниципального образования «Муниципальный округ </w:t>
      </w:r>
      <w:proofErr w:type="spellStart"/>
      <w:r w:rsidRPr="001267C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1267C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Управлении финансов Администрации муниципального образования «Муниципальный округ </w:t>
      </w:r>
      <w:proofErr w:type="spellStart"/>
      <w:r w:rsidRPr="001267C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1267CF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End"/>
      <w:r w:rsidRPr="00126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7CF">
        <w:rPr>
          <w:rFonts w:ascii="Times New Roman" w:hAnsi="Times New Roman" w:cs="Times New Roman"/>
          <w:sz w:val="24"/>
          <w:szCs w:val="24"/>
        </w:rPr>
        <w:t xml:space="preserve">Удмуртской Республики» и проведения кассовых операций со средствами бюджетных и автономных учреждений муниципального образования «Муниципальный округ </w:t>
      </w:r>
      <w:proofErr w:type="spellStart"/>
      <w:r w:rsidRPr="001267C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1267C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утвержденным приказом Управления финансов от 31 мая 2022 года N 31, </w:t>
      </w:r>
      <w:hyperlink r:id="rId13">
        <w:r w:rsidRPr="001267CF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1267CF">
        <w:rPr>
          <w:rFonts w:ascii="Times New Roman" w:hAnsi="Times New Roman" w:cs="Times New Roman"/>
          <w:sz w:val="24"/>
          <w:szCs w:val="24"/>
        </w:rPr>
        <w:t xml:space="preserve"> открытия и ведения лицевых счетов юридических лиц, не являющихся участниками бюджетного процесса, в Управлении финансов Администрации муниципального образования «Муниципальный округ </w:t>
      </w:r>
      <w:proofErr w:type="spellStart"/>
      <w:r w:rsidRPr="001267C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1267C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утвержденным приказом Управления финансов</w:t>
      </w:r>
      <w:proofErr w:type="gramEnd"/>
      <w:r w:rsidRPr="001267CF">
        <w:rPr>
          <w:rFonts w:ascii="Times New Roman" w:hAnsi="Times New Roman" w:cs="Times New Roman"/>
          <w:sz w:val="24"/>
          <w:szCs w:val="24"/>
        </w:rPr>
        <w:t xml:space="preserve"> от 30 декабря 2021 года N 21, </w:t>
      </w:r>
      <w:hyperlink r:id="rId14">
        <w:r w:rsidRPr="001267CF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1267CF">
        <w:rPr>
          <w:rFonts w:ascii="Times New Roman" w:hAnsi="Times New Roman" w:cs="Times New Roman"/>
          <w:sz w:val="24"/>
          <w:szCs w:val="24"/>
        </w:rPr>
        <w:t xml:space="preserve"> открытия лицевых счетов Управлением финансов Администрации муниципального образования «Муниципальный округ </w:t>
      </w:r>
      <w:proofErr w:type="spellStart"/>
      <w:r w:rsidRPr="001267C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1267C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участникам казначейского сопровождения от 26 апреля 2022 года N 24.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Перечень, а также копии подлинников документов, заверенные в установленном порядке, представляются в Управление финансов на бумажном носителе.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Перечень подписывается руководителем организации. Руководитель организации несет персональную ответственность за полноту и достоверность информации, указанной в Перечне, а также за соблюдение установленных настоящим Порядком сроков его представления.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5. В случае необходимости уточнения информации, внесенной в Сводный реестр, организация формирует и представляет в Управление финансов уточненный Перечень, с заполнением тех разделов, которые требуют уточнения, не позднее пяти рабочих дней, следующих за днем: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изменения информации, включенной в Сводный реестр;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принятия новых документов, подлежащих включению в Сводный реестр.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 xml:space="preserve">6. В соответствии со </w:t>
      </w:r>
      <w:hyperlink r:id="rId15">
        <w:r w:rsidRPr="001267CF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1267CF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 "О персональных данных" одновременно с Перечнем организация представляет "</w:t>
      </w:r>
      <w:hyperlink w:anchor="P110">
        <w:r w:rsidRPr="001267CF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1267CF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данных" руководителя организации по форме согласно приложению к настоящему Порядку.</w:t>
      </w:r>
    </w:p>
    <w:p w:rsidR="001319DB" w:rsidRPr="001267CF" w:rsidRDefault="001319DB" w:rsidP="00131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9DB" w:rsidRPr="001267CF" w:rsidRDefault="001319DB" w:rsidP="001319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3. Правила представления информации в Управление</w:t>
      </w:r>
    </w:p>
    <w:p w:rsidR="001319DB" w:rsidRPr="001267CF" w:rsidRDefault="001319DB" w:rsidP="001319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Федерального казначейства по Удмуртской Республике</w:t>
      </w:r>
    </w:p>
    <w:p w:rsidR="001319DB" w:rsidRPr="001267CF" w:rsidRDefault="001319DB" w:rsidP="001319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для включения в Сводный реестр</w:t>
      </w:r>
    </w:p>
    <w:p w:rsidR="001319DB" w:rsidRPr="001267CF" w:rsidRDefault="001319DB" w:rsidP="00131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19DB" w:rsidRPr="001267CF" w:rsidRDefault="001319DB" w:rsidP="0013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7. Управление финансов в течение пяти рабочих дней со дня представления организацией Перечня осуществляет его проверку.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8. В случае выявления в результате проверки нарушений Управление финансов в указанный для проверки срок направляет организации сообщение с указанием выявленных несоответствий и (или) оснований, по которым информация не представлена в УФК по УР для включения в Сводный реестр.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9. При отсутствии в результате проверки нарушений Управление финансов формирует электронный документ путем заполнения экранных форм веб-интерфейса государственной интегрированной информационной системы управления общественными финансами "Электронный бюджет" (далее - система "Электронный бюджет") и направляет его в УФК по УР.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10. Информация, представляемая в УФК по УР в форме электронного документа, подписывается начальником Управления финансов (иным уполномоченным лицом) усиленной квалифицированной электронной подписью.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lastRenderedPageBreak/>
        <w:t>11. В случае получения Управлением финансов от УФК по УР протокола, содержащего перечень выявленных несоответствий и (или) оснований, по которым информация не может быть включена в Сводный реестр (далее - Протокол), Управление финансов в течение двух рабочих дней направляет сообщение с информацией, содержащейся в Протоколе, организации для устранения замечаний.</w:t>
      </w:r>
    </w:p>
    <w:p w:rsidR="001319DB" w:rsidRPr="001267CF" w:rsidRDefault="001319DB" w:rsidP="001319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7CF">
        <w:rPr>
          <w:rFonts w:ascii="Times New Roman" w:hAnsi="Times New Roman" w:cs="Times New Roman"/>
          <w:sz w:val="24"/>
          <w:szCs w:val="24"/>
        </w:rPr>
        <w:t>Организация после устранения выявленных УФК по УР несоответствий информации и (или) оснований, препятствующих включению информации в Сводный реестр, представляет в Управление финансов уточненный Перечень.</w:t>
      </w:r>
    </w:p>
    <w:p w:rsidR="001267CF" w:rsidRDefault="001267CF" w:rsidP="001319DB">
      <w:pPr>
        <w:pStyle w:val="ConsPlusNormal"/>
        <w:jc w:val="right"/>
        <w:outlineLvl w:val="1"/>
      </w:pPr>
    </w:p>
    <w:p w:rsidR="001267CF" w:rsidRDefault="001267CF" w:rsidP="001319DB">
      <w:pPr>
        <w:pStyle w:val="ConsPlusNormal"/>
        <w:jc w:val="right"/>
        <w:outlineLvl w:val="1"/>
      </w:pPr>
    </w:p>
    <w:p w:rsidR="001267CF" w:rsidRDefault="001267CF" w:rsidP="001319DB">
      <w:pPr>
        <w:pStyle w:val="ConsPlusNormal"/>
        <w:jc w:val="right"/>
        <w:outlineLvl w:val="1"/>
      </w:pPr>
    </w:p>
    <w:p w:rsidR="001319DB" w:rsidRDefault="001319DB" w:rsidP="001319DB">
      <w:pPr>
        <w:pStyle w:val="ConsPlusNormal"/>
        <w:jc w:val="right"/>
        <w:outlineLvl w:val="1"/>
      </w:pPr>
      <w:r>
        <w:t>Приложение</w:t>
      </w:r>
    </w:p>
    <w:p w:rsidR="001319DB" w:rsidRDefault="001319DB" w:rsidP="001319DB">
      <w:pPr>
        <w:pStyle w:val="ConsPlusNormal"/>
        <w:jc w:val="right"/>
      </w:pPr>
      <w:r>
        <w:t>к Порядку</w:t>
      </w:r>
    </w:p>
    <w:p w:rsidR="001319DB" w:rsidRDefault="001319DB" w:rsidP="001319DB">
      <w:pPr>
        <w:pStyle w:val="ConsPlusNormal"/>
        <w:jc w:val="right"/>
      </w:pPr>
      <w:r>
        <w:t>формирования и представления</w:t>
      </w:r>
    </w:p>
    <w:p w:rsidR="001319DB" w:rsidRDefault="001319DB" w:rsidP="001319DB">
      <w:pPr>
        <w:pStyle w:val="ConsPlusNormal"/>
        <w:jc w:val="right"/>
      </w:pPr>
      <w:r>
        <w:t>информации и документов</w:t>
      </w:r>
    </w:p>
    <w:p w:rsidR="001319DB" w:rsidRDefault="001319DB" w:rsidP="001319DB">
      <w:pPr>
        <w:pStyle w:val="ConsPlusNormal"/>
        <w:jc w:val="right"/>
      </w:pPr>
      <w:r>
        <w:t>для включения в реестр</w:t>
      </w:r>
    </w:p>
    <w:p w:rsidR="001319DB" w:rsidRDefault="001319DB" w:rsidP="001319DB">
      <w:pPr>
        <w:pStyle w:val="ConsPlusNormal"/>
        <w:jc w:val="right"/>
      </w:pPr>
      <w:r>
        <w:t>участников бюджетного процесса,</w:t>
      </w:r>
    </w:p>
    <w:p w:rsidR="001319DB" w:rsidRDefault="001319DB" w:rsidP="001319DB">
      <w:pPr>
        <w:pStyle w:val="ConsPlusNormal"/>
        <w:jc w:val="right"/>
      </w:pPr>
      <w:r>
        <w:t>а также юридических лиц,</w:t>
      </w:r>
    </w:p>
    <w:p w:rsidR="001319DB" w:rsidRDefault="001319DB" w:rsidP="001319DB">
      <w:pPr>
        <w:pStyle w:val="ConsPlusNormal"/>
        <w:jc w:val="right"/>
      </w:pPr>
      <w:r>
        <w:t xml:space="preserve">не </w:t>
      </w:r>
      <w:proofErr w:type="gramStart"/>
      <w:r>
        <w:t>являющихся</w:t>
      </w:r>
      <w:proofErr w:type="gramEnd"/>
      <w:r>
        <w:t xml:space="preserve"> участниками</w:t>
      </w:r>
    </w:p>
    <w:p w:rsidR="001319DB" w:rsidRDefault="001319DB" w:rsidP="001319DB">
      <w:pPr>
        <w:pStyle w:val="ConsPlusNormal"/>
        <w:jc w:val="right"/>
      </w:pPr>
      <w:r>
        <w:t>бюджетного процесса</w:t>
      </w:r>
    </w:p>
    <w:p w:rsidR="001319DB" w:rsidRDefault="001319DB" w:rsidP="001319DB">
      <w:pPr>
        <w:pStyle w:val="ConsPlusNormal"/>
        <w:jc w:val="both"/>
      </w:pPr>
    </w:p>
    <w:p w:rsidR="001267CF" w:rsidRDefault="001267CF" w:rsidP="001319DB">
      <w:pPr>
        <w:pStyle w:val="ConsPlusNormal"/>
        <w:jc w:val="both"/>
      </w:pPr>
    </w:p>
    <w:p w:rsidR="001267CF" w:rsidRDefault="001267CF" w:rsidP="001319DB">
      <w:pPr>
        <w:pStyle w:val="ConsPlusNormal"/>
        <w:jc w:val="both"/>
      </w:pPr>
    </w:p>
    <w:p w:rsidR="001319DB" w:rsidRDefault="001267CF" w:rsidP="001319DB">
      <w:pPr>
        <w:pStyle w:val="ConsPlusNonformat"/>
        <w:jc w:val="both"/>
      </w:pPr>
      <w:r>
        <w:t xml:space="preserve">  </w:t>
      </w:r>
    </w:p>
    <w:p w:rsidR="001319DB" w:rsidRDefault="001319DB" w:rsidP="001319DB">
      <w:pPr>
        <w:pStyle w:val="ConsPlusNonformat"/>
        <w:jc w:val="both"/>
      </w:pPr>
      <w:bookmarkStart w:id="1" w:name="P110"/>
      <w:bookmarkEnd w:id="1"/>
      <w:r>
        <w:t xml:space="preserve">                                 Согласие</w:t>
      </w:r>
    </w:p>
    <w:p w:rsidR="001319DB" w:rsidRDefault="001319DB" w:rsidP="001319DB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1319DB" w:rsidRDefault="001319DB" w:rsidP="001319DB">
      <w:pPr>
        <w:pStyle w:val="ConsPlusNonformat"/>
        <w:jc w:val="both"/>
      </w:pPr>
    </w:p>
    <w:p w:rsidR="001319DB" w:rsidRDefault="001319DB" w:rsidP="001319D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1319DB" w:rsidRDefault="001319DB" w:rsidP="001319DB">
      <w:pPr>
        <w:pStyle w:val="ConsPlusNonformat"/>
        <w:jc w:val="both"/>
      </w:pPr>
      <w:r>
        <w:t xml:space="preserve">                            фамилия, имя, отчество</w:t>
      </w:r>
    </w:p>
    <w:p w:rsidR="001319DB" w:rsidRDefault="001319DB" w:rsidP="001319DB">
      <w:pPr>
        <w:pStyle w:val="ConsPlusNonformat"/>
        <w:jc w:val="both"/>
      </w:pPr>
      <w:r>
        <w:t xml:space="preserve">    паспортные данные: серия _______ номер _________ выдан ________________</w:t>
      </w:r>
    </w:p>
    <w:p w:rsidR="001319DB" w:rsidRDefault="001319DB" w:rsidP="001319DB">
      <w:pPr>
        <w:pStyle w:val="ConsPlusNonformat"/>
        <w:jc w:val="both"/>
      </w:pPr>
      <w:r>
        <w:t>________________________________________________ дата выдачи _____________,</w:t>
      </w:r>
    </w:p>
    <w:p w:rsidR="001319DB" w:rsidRDefault="001319DB" w:rsidP="001319DB">
      <w:pPr>
        <w:pStyle w:val="ConsPlusNonformat"/>
        <w:jc w:val="both"/>
      </w:pPr>
      <w:r>
        <w:t xml:space="preserve">в  соответствии с требованиями </w:t>
      </w:r>
      <w:hyperlink r:id="rId16">
        <w:r>
          <w:rPr>
            <w:color w:val="0000FF"/>
          </w:rPr>
          <w:t>статьи 9</w:t>
        </w:r>
      </w:hyperlink>
      <w:r>
        <w:t xml:space="preserve"> Федерального закона от 27 июля 2006</w:t>
      </w:r>
    </w:p>
    <w:p w:rsidR="001319DB" w:rsidRDefault="001319DB" w:rsidP="001319DB">
      <w:pPr>
        <w:pStyle w:val="ConsPlusNonformat"/>
        <w:jc w:val="both"/>
      </w:pPr>
      <w:proofErr w:type="gramStart"/>
      <w:r>
        <w:t xml:space="preserve">года  N  152-ФЗ  "О  персональных  данных"  даю  свое согласие Управлению финансов Администрации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на  автоматизированную, а  также  без использования средств автоматизации обработку моих персональных данных, включающих фамилию, имя, отчество, должность, страховой номер индивидуального   лицевого   счета   в   Фонде  пенсионного  и  социального страхования  Российской  Федерации  (СНИЛС), с целью включения информации в реестр   участников  бюджетного  процесса</w:t>
      </w:r>
      <w:proofErr w:type="gramEnd"/>
      <w:r>
        <w:t>,  а  также  юридических  лиц,  не являющихся  участниками  бюджетного  процесса.</w:t>
      </w:r>
    </w:p>
    <w:p w:rsidR="001319DB" w:rsidRDefault="001319DB" w:rsidP="001319DB">
      <w:pPr>
        <w:pStyle w:val="ConsPlusNonformat"/>
        <w:jc w:val="both"/>
      </w:pPr>
    </w:p>
    <w:p w:rsidR="001319DB" w:rsidRDefault="001319DB" w:rsidP="001319DB">
      <w:pPr>
        <w:pStyle w:val="ConsPlusNonformat"/>
        <w:jc w:val="both"/>
      </w:pPr>
      <w:proofErr w:type="gramStart"/>
      <w:r>
        <w:t>Предоставляю Управлению финансов право осуществлять все действия  (операции)  с  моими  персональными  данными, 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</w:p>
    <w:p w:rsidR="001319DB" w:rsidRDefault="001319DB" w:rsidP="001319DB">
      <w:pPr>
        <w:pStyle w:val="ConsPlusNonformat"/>
        <w:jc w:val="both"/>
      </w:pPr>
      <w:r>
        <w:t xml:space="preserve">    Срок  действия  настоящего  согласия  -  период  времени  до  истечения</w:t>
      </w:r>
    </w:p>
    <w:p w:rsidR="001319DB" w:rsidRDefault="001319DB" w:rsidP="001319DB">
      <w:pPr>
        <w:pStyle w:val="ConsPlusNonformat"/>
        <w:jc w:val="both"/>
      </w:pPr>
      <w:r>
        <w:t>установленных   нормативными   актами   сроков   хранения   соответствующей</w:t>
      </w:r>
    </w:p>
    <w:p w:rsidR="001319DB" w:rsidRDefault="001319DB" w:rsidP="001319DB">
      <w:pPr>
        <w:pStyle w:val="ConsPlusNonformat"/>
        <w:jc w:val="both"/>
      </w:pPr>
      <w:r>
        <w:t>информации  или  документов, размещенных в компонентах системы "</w:t>
      </w:r>
      <w:proofErr w:type="gramStart"/>
      <w:r>
        <w:t>Электронный</w:t>
      </w:r>
      <w:proofErr w:type="gramEnd"/>
    </w:p>
    <w:p w:rsidR="001319DB" w:rsidRDefault="001319DB" w:rsidP="001319DB">
      <w:pPr>
        <w:pStyle w:val="ConsPlusNonformat"/>
        <w:jc w:val="both"/>
      </w:pPr>
      <w:r>
        <w:t>бюджет".</w:t>
      </w:r>
    </w:p>
    <w:p w:rsidR="001319DB" w:rsidRDefault="001319DB" w:rsidP="001319DB">
      <w:pPr>
        <w:pStyle w:val="ConsPlusNonformat"/>
        <w:jc w:val="both"/>
      </w:pPr>
      <w:r>
        <w:t xml:space="preserve">    Настоящее согласие на обработку персональных данных может быть отозвано</w:t>
      </w:r>
    </w:p>
    <w:p w:rsidR="001319DB" w:rsidRDefault="001319DB" w:rsidP="001319DB">
      <w:pPr>
        <w:pStyle w:val="ConsPlusNonformat"/>
        <w:jc w:val="both"/>
      </w:pPr>
      <w:r>
        <w:t xml:space="preserve">в  порядке,  установленном  Федеральным  </w:t>
      </w:r>
      <w:hyperlink r:id="rId17">
        <w:r>
          <w:rPr>
            <w:color w:val="0000FF"/>
          </w:rPr>
          <w:t>законом</w:t>
        </w:r>
      </w:hyperlink>
      <w:r>
        <w:t xml:space="preserve"> Российской Федерации от 27</w:t>
      </w:r>
    </w:p>
    <w:p w:rsidR="001319DB" w:rsidRDefault="001319DB" w:rsidP="001319DB">
      <w:pPr>
        <w:pStyle w:val="ConsPlusNonformat"/>
        <w:jc w:val="both"/>
      </w:pPr>
      <w:r>
        <w:t>июля  2006  года N 152-ФЗ "О персональных данных". В случае отзыва согласия</w:t>
      </w:r>
    </w:p>
    <w:p w:rsidR="001319DB" w:rsidRDefault="001319DB" w:rsidP="001319DB">
      <w:pPr>
        <w:pStyle w:val="ConsPlusNonformat"/>
        <w:jc w:val="both"/>
      </w:pPr>
      <w:r>
        <w:t>на обработку  моих  персональных  данных  Управление финансов   вправе не прекращать их обработку  до  окончания срока действия настоящего согласия.</w:t>
      </w:r>
    </w:p>
    <w:p w:rsidR="001319DB" w:rsidRDefault="001319DB" w:rsidP="001319DB">
      <w:pPr>
        <w:pStyle w:val="ConsPlusNonformat"/>
        <w:jc w:val="both"/>
      </w:pPr>
    </w:p>
    <w:p w:rsidR="001319DB" w:rsidRDefault="001319DB" w:rsidP="001319DB">
      <w:pPr>
        <w:pStyle w:val="ConsPlusNonformat"/>
        <w:jc w:val="both"/>
      </w:pPr>
      <w:r>
        <w:t xml:space="preserve">                                        _____________ _____________________</w:t>
      </w:r>
    </w:p>
    <w:p w:rsidR="001319DB" w:rsidRDefault="001319DB" w:rsidP="001319DB">
      <w:pPr>
        <w:pStyle w:val="ConsPlusNonformat"/>
        <w:jc w:val="both"/>
      </w:pPr>
      <w:r>
        <w:t xml:space="preserve">                                           подпись            Ф.И.О.</w:t>
      </w:r>
    </w:p>
    <w:p w:rsidR="001319DB" w:rsidRDefault="001319DB" w:rsidP="001319DB">
      <w:pPr>
        <w:pStyle w:val="ConsPlusNonformat"/>
        <w:jc w:val="both"/>
      </w:pPr>
    </w:p>
    <w:p w:rsidR="001319DB" w:rsidRDefault="001319DB" w:rsidP="001319DB">
      <w:pPr>
        <w:pStyle w:val="ConsPlusNonformat"/>
        <w:jc w:val="both"/>
      </w:pPr>
      <w:r>
        <w:t xml:space="preserve">                                                  "__" ____________ 20__ г.</w:t>
      </w:r>
    </w:p>
    <w:p w:rsidR="001319DB" w:rsidRDefault="001319DB" w:rsidP="001319DB">
      <w:pPr>
        <w:pStyle w:val="ConsPlusNormal"/>
        <w:jc w:val="both"/>
      </w:pPr>
    </w:p>
    <w:p w:rsidR="006B214F" w:rsidRPr="00D40530" w:rsidRDefault="006B214F" w:rsidP="00D4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B214F" w:rsidRPr="00D40530" w:rsidSect="001267C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4F"/>
    <w:rsid w:val="00000A14"/>
    <w:rsid w:val="000136B1"/>
    <w:rsid w:val="00026A19"/>
    <w:rsid w:val="000352E2"/>
    <w:rsid w:val="00051FFC"/>
    <w:rsid w:val="00071901"/>
    <w:rsid w:val="000F4074"/>
    <w:rsid w:val="001267CF"/>
    <w:rsid w:val="001319DB"/>
    <w:rsid w:val="00156FA2"/>
    <w:rsid w:val="00160187"/>
    <w:rsid w:val="00226A29"/>
    <w:rsid w:val="002427DA"/>
    <w:rsid w:val="00260033"/>
    <w:rsid w:val="00260128"/>
    <w:rsid w:val="00270B73"/>
    <w:rsid w:val="002914C5"/>
    <w:rsid w:val="002B0EA3"/>
    <w:rsid w:val="002C52EF"/>
    <w:rsid w:val="00321726"/>
    <w:rsid w:val="00385612"/>
    <w:rsid w:val="003A3D75"/>
    <w:rsid w:val="003D5CD4"/>
    <w:rsid w:val="0041327C"/>
    <w:rsid w:val="00450748"/>
    <w:rsid w:val="00461F15"/>
    <w:rsid w:val="00467089"/>
    <w:rsid w:val="00475D82"/>
    <w:rsid w:val="0048324E"/>
    <w:rsid w:val="004A3ADC"/>
    <w:rsid w:val="004A5350"/>
    <w:rsid w:val="004B1CD0"/>
    <w:rsid w:val="004B47B8"/>
    <w:rsid w:val="004D2BB6"/>
    <w:rsid w:val="004E0E8A"/>
    <w:rsid w:val="004E298E"/>
    <w:rsid w:val="004E32EC"/>
    <w:rsid w:val="004F4AAC"/>
    <w:rsid w:val="005204A3"/>
    <w:rsid w:val="00540DAB"/>
    <w:rsid w:val="00565D31"/>
    <w:rsid w:val="0058193C"/>
    <w:rsid w:val="00592085"/>
    <w:rsid w:val="005975B4"/>
    <w:rsid w:val="006024CA"/>
    <w:rsid w:val="006451FB"/>
    <w:rsid w:val="00647281"/>
    <w:rsid w:val="00654B98"/>
    <w:rsid w:val="006875AD"/>
    <w:rsid w:val="006B1E15"/>
    <w:rsid w:val="006B214F"/>
    <w:rsid w:val="006B5558"/>
    <w:rsid w:val="006E2467"/>
    <w:rsid w:val="0070459F"/>
    <w:rsid w:val="00727291"/>
    <w:rsid w:val="00733490"/>
    <w:rsid w:val="00735BD4"/>
    <w:rsid w:val="00751FD1"/>
    <w:rsid w:val="0075488E"/>
    <w:rsid w:val="00774632"/>
    <w:rsid w:val="00776969"/>
    <w:rsid w:val="007A3D40"/>
    <w:rsid w:val="007E2E61"/>
    <w:rsid w:val="007F2A35"/>
    <w:rsid w:val="007F3EB2"/>
    <w:rsid w:val="0082570F"/>
    <w:rsid w:val="008902BE"/>
    <w:rsid w:val="00995C78"/>
    <w:rsid w:val="009D511A"/>
    <w:rsid w:val="009E3BA8"/>
    <w:rsid w:val="009E637D"/>
    <w:rsid w:val="00A32A1F"/>
    <w:rsid w:val="00A44BD9"/>
    <w:rsid w:val="00A61476"/>
    <w:rsid w:val="00AA11FF"/>
    <w:rsid w:val="00AB2C1B"/>
    <w:rsid w:val="00AE345C"/>
    <w:rsid w:val="00B11E20"/>
    <w:rsid w:val="00B15BB9"/>
    <w:rsid w:val="00B66144"/>
    <w:rsid w:val="00B803ED"/>
    <w:rsid w:val="00BE5550"/>
    <w:rsid w:val="00C028FB"/>
    <w:rsid w:val="00C15F0F"/>
    <w:rsid w:val="00C20EE2"/>
    <w:rsid w:val="00C27ACF"/>
    <w:rsid w:val="00C44BBB"/>
    <w:rsid w:val="00C60C83"/>
    <w:rsid w:val="00C64600"/>
    <w:rsid w:val="00C660C0"/>
    <w:rsid w:val="00C93466"/>
    <w:rsid w:val="00C95A30"/>
    <w:rsid w:val="00D00ED4"/>
    <w:rsid w:val="00D40530"/>
    <w:rsid w:val="00D545CF"/>
    <w:rsid w:val="00DC022B"/>
    <w:rsid w:val="00E01040"/>
    <w:rsid w:val="00E12176"/>
    <w:rsid w:val="00E129A0"/>
    <w:rsid w:val="00E202AE"/>
    <w:rsid w:val="00E24B5A"/>
    <w:rsid w:val="00E24F9C"/>
    <w:rsid w:val="00E305FD"/>
    <w:rsid w:val="00E4353A"/>
    <w:rsid w:val="00E7069F"/>
    <w:rsid w:val="00E83068"/>
    <w:rsid w:val="00EA179B"/>
    <w:rsid w:val="00EB75DE"/>
    <w:rsid w:val="00EC24BE"/>
    <w:rsid w:val="00EE4E0C"/>
    <w:rsid w:val="00F529DF"/>
    <w:rsid w:val="00F82627"/>
    <w:rsid w:val="00F964A7"/>
    <w:rsid w:val="00FD2BFC"/>
    <w:rsid w:val="00FD65FB"/>
    <w:rsid w:val="00F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90"/>
    <w:pPr>
      <w:spacing w:after="0" w:line="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21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2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B21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B2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B21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B21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B21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B2C1B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733490"/>
    <w:pPr>
      <w:widowControl w:val="0"/>
      <w:autoSpaceDE w:val="0"/>
      <w:autoSpaceDN w:val="0"/>
      <w:adjustRightInd w:val="0"/>
      <w:spacing w:line="300" w:lineRule="exact"/>
      <w:jc w:val="both"/>
    </w:pPr>
  </w:style>
  <w:style w:type="character" w:customStyle="1" w:styleId="FontStyle17">
    <w:name w:val="Font Style17"/>
    <w:uiPriority w:val="99"/>
    <w:rsid w:val="00733490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B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B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90"/>
    <w:pPr>
      <w:spacing w:after="0" w:line="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21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2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B21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B21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B21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B21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B21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B2C1B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733490"/>
    <w:pPr>
      <w:widowControl w:val="0"/>
      <w:autoSpaceDE w:val="0"/>
      <w:autoSpaceDN w:val="0"/>
      <w:adjustRightInd w:val="0"/>
      <w:spacing w:line="300" w:lineRule="exact"/>
      <w:jc w:val="both"/>
    </w:pPr>
  </w:style>
  <w:style w:type="character" w:customStyle="1" w:styleId="FontStyle17">
    <w:name w:val="Font Style17"/>
    <w:uiPriority w:val="99"/>
    <w:rsid w:val="00733490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B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B0520F4BED788CACA798E96AC342C549348EB5C221126BF1DC49864FB8BA99F03C6221F2D5A8DF49A3403AA9D5B336E318ECE9503X8CEG" TargetMode="External"/><Relationship Id="rId13" Type="http://schemas.openxmlformats.org/officeDocument/2006/relationships/hyperlink" Target="consultantplus://offline/ref=EB3B0520F4BED788CACA678380C06A24539B14E45E261D71E14AC2CF3BAB8DFCDF43C0705B6E5587A0CB7056AE970C7C2A639DCD961F8D1F8286D3B3XDC8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B3B0520F4BED788CACA798E96AC342C549449EE5B231126BF1DC49864FB8BA99F03C625137E09C2F5C67155B99C5F336C3692XCCFG" TargetMode="External"/><Relationship Id="rId12" Type="http://schemas.openxmlformats.org/officeDocument/2006/relationships/hyperlink" Target="consultantplus://offline/ref=EB3B0520F4BED788CACA678380C06A24539B14E45E261277E748C2CF3BAB8DFCDF43C0705B6E5587A0CB7353A4970C7C2A639DCD961F8D1F8286D3B3XDC8G" TargetMode="External"/><Relationship Id="rId17" Type="http://schemas.openxmlformats.org/officeDocument/2006/relationships/hyperlink" Target="consultantplus://offline/ref=EB3B0520F4BED788CACA798E96AC342C549343EB5F231126BF1DC49864FB8BA98D039E2919294686A7D57256A5X9C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3B0520F4BED788CACA798E96AC342C549343EB5F231126BF1DC49864FB8BA99F03C625182A5A81A8C02407E3C9552C6D2890CB8B038D1AX9CF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3B0520F4BED788CACA798E96AC342C549449EE5B231126BF1DC49864FB8BA99F03C625137E09C2F5C67155B99C5F336C3692XCCFG" TargetMode="External"/><Relationship Id="rId11" Type="http://schemas.openxmlformats.org/officeDocument/2006/relationships/hyperlink" Target="consultantplus://offline/ref=EB3B0520F4BED788CACA798E96AC342C549449EE5B231126BF1DC49864FB8BA99F03C6251E235B8DF49A3403AA9D5B336E318ECE9503X8C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3B0520F4BED788CACA798E96AC342C549343EB5F231126BF1DC49864FB8BA99F03C625182A5A81A8C02407E3C9552C6D2890CB8B038D1AX9CFG" TargetMode="External"/><Relationship Id="rId10" Type="http://schemas.openxmlformats.org/officeDocument/2006/relationships/hyperlink" Target="consultantplus://offline/ref=EB3B0520F4BED788CACA798E96AC342C549449EE5B231126BF1DC49864FB8BA99F03C62D182C53D2F18F255BA69F462D692892CC97X0C2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3B0520F4BED788CACA798E96AC342C549348EB5C221126BF1DC49864FB8BA99F03C6221F2D5C8DF49A3403AA9D5B336E318ECE9503X8CEG" TargetMode="External"/><Relationship Id="rId14" Type="http://schemas.openxmlformats.org/officeDocument/2006/relationships/hyperlink" Target="consultantplus://offline/ref=EB3B0520F4BED788CACA678380C06A24539B14E45E261A77E140C2CF3BAB8DFCDF43C0705B6E5587A0CB7057A6970C7C2A639DCD961F8D1F8286D3B3XDC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74FE-E46B-45C2-9B31-F434C218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2023-10-24T06:54:00Z</cp:lastPrinted>
  <dcterms:created xsi:type="dcterms:W3CDTF">2023-10-24T06:59:00Z</dcterms:created>
  <dcterms:modified xsi:type="dcterms:W3CDTF">2023-10-24T06:59:00Z</dcterms:modified>
</cp:coreProperties>
</file>