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CE" w:rsidRDefault="00C127CE" w:rsidP="009A674D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ПРИЛОЖЕНИЕ 1 к постановлению Администрации </w:t>
      </w:r>
    </w:p>
    <w:p w:rsidR="00C127CE" w:rsidRDefault="00C127CE" w:rsidP="009A674D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муниципального образования «</w:t>
      </w:r>
      <w:proofErr w:type="spellStart"/>
      <w:r>
        <w:rPr>
          <w:rFonts w:eastAsia="Times New Roman" w:cs="Times New Roman"/>
          <w:sz w:val="22"/>
          <w:lang w:eastAsia="ru-RU"/>
        </w:rPr>
        <w:t>Глазовский</w:t>
      </w:r>
      <w:proofErr w:type="spellEnd"/>
      <w:r>
        <w:rPr>
          <w:rFonts w:eastAsia="Times New Roman" w:cs="Times New Roman"/>
          <w:sz w:val="22"/>
          <w:lang w:eastAsia="ru-RU"/>
        </w:rPr>
        <w:t xml:space="preserve"> район» от 21.01.2016 № 16</w:t>
      </w:r>
    </w:p>
    <w:p w:rsidR="00C127CE" w:rsidRDefault="00C127CE" w:rsidP="009A674D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</w:p>
    <w:p w:rsidR="009A674D" w:rsidRPr="009A674D" w:rsidRDefault="00C127CE" w:rsidP="009A674D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«Приложение № 2 </w:t>
      </w:r>
      <w:r w:rsidR="009A674D" w:rsidRPr="009A674D">
        <w:rPr>
          <w:rFonts w:eastAsia="Times New Roman" w:cs="Times New Roman"/>
          <w:sz w:val="22"/>
          <w:lang w:eastAsia="ru-RU"/>
        </w:rPr>
        <w:t>к  Муниципальной программе муниципального образования</w:t>
      </w:r>
    </w:p>
    <w:p w:rsidR="009A674D" w:rsidRPr="009A674D" w:rsidRDefault="009A674D" w:rsidP="00C127CE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  <w:r w:rsidRPr="009A674D">
        <w:rPr>
          <w:rFonts w:eastAsia="Times New Roman" w:cs="Times New Roman"/>
          <w:sz w:val="22"/>
          <w:lang w:eastAsia="ru-RU"/>
        </w:rPr>
        <w:t xml:space="preserve"> «</w:t>
      </w:r>
      <w:proofErr w:type="spellStart"/>
      <w:r w:rsidRPr="009A674D">
        <w:rPr>
          <w:rFonts w:eastAsia="Times New Roman" w:cs="Times New Roman"/>
          <w:sz w:val="22"/>
          <w:lang w:eastAsia="ru-RU"/>
        </w:rPr>
        <w:t>Глазовский</w:t>
      </w:r>
      <w:proofErr w:type="spellEnd"/>
      <w:r w:rsidRPr="009A674D">
        <w:rPr>
          <w:rFonts w:eastAsia="Times New Roman" w:cs="Times New Roman"/>
          <w:sz w:val="22"/>
          <w:lang w:eastAsia="ru-RU"/>
        </w:rPr>
        <w:t xml:space="preserve"> район»</w:t>
      </w:r>
      <w:r w:rsidR="00C127CE">
        <w:rPr>
          <w:rFonts w:eastAsia="Times New Roman" w:cs="Times New Roman"/>
          <w:sz w:val="22"/>
          <w:lang w:eastAsia="ru-RU"/>
        </w:rPr>
        <w:t xml:space="preserve"> </w:t>
      </w:r>
      <w:r w:rsidRPr="009A674D">
        <w:rPr>
          <w:rFonts w:eastAsia="Times New Roman" w:cs="Times New Roman"/>
          <w:sz w:val="22"/>
          <w:lang w:eastAsia="ru-RU"/>
        </w:rPr>
        <w:t>«Развитие культуры на 2015-2020 годы</w:t>
      </w:r>
    </w:p>
    <w:p w:rsidR="009A674D" w:rsidRPr="009A674D" w:rsidRDefault="009A674D" w:rsidP="00C127CE">
      <w:pPr>
        <w:spacing w:line="240" w:lineRule="auto"/>
        <w:jc w:val="center"/>
        <w:rPr>
          <w:rFonts w:eastAsia="Times New Roman" w:cs="Times New Roman"/>
          <w:sz w:val="22"/>
          <w:lang w:eastAsia="ru-RU"/>
        </w:rPr>
      </w:pPr>
      <w:r w:rsidRPr="009A674D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9A674D" w:rsidRPr="009A674D" w:rsidRDefault="009A674D" w:rsidP="009A674D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75"/>
        <w:gridCol w:w="35"/>
      </w:tblGrid>
      <w:tr w:rsidR="009A674D" w:rsidRPr="009A674D" w:rsidTr="00BC3CF9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Сро</w:t>
            </w:r>
            <w:bookmarkStart w:id="0" w:name="_GoBack"/>
            <w:bookmarkEnd w:id="0"/>
            <w:r w:rsidRPr="009A674D">
              <w:rPr>
                <w:rFonts w:eastAsia="Times New Roman" w:cs="Times New Roman"/>
                <w:sz w:val="22"/>
                <w:lang w:eastAsia="ru-RU"/>
              </w:rPr>
              <w:t>к выполнения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674D" w:rsidRPr="009A674D" w:rsidRDefault="009A674D" w:rsidP="009A674D">
            <w:pPr>
              <w:spacing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9A674D" w:rsidRPr="009A674D" w:rsidTr="00B51B52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A674D">
              <w:rPr>
                <w:rFonts w:eastAsia="Times New Roman" w:cs="Times New Roman"/>
                <w:sz w:val="22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8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45DA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9A45DA" w:rsidRPr="00BC3CF9">
              <w:rPr>
                <w:rFonts w:eastAsia="Times New Roman" w:cs="Times New Roman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1B52" w:rsidRPr="00BC3CF9" w:rsidRDefault="009A674D" w:rsidP="00C87DDB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 в библиотечных услугах, повыш</w:t>
            </w:r>
            <w:r w:rsidR="00C87DDB">
              <w:rPr>
                <w:rFonts w:eastAsia="Times New Roman" w:cs="Times New Roman"/>
                <w:szCs w:val="24"/>
                <w:lang w:eastAsia="ru-RU"/>
              </w:rPr>
              <w:t>ение их качества и доступности.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03.1.01-03.1.10</w:t>
            </w:r>
          </w:p>
          <w:p w:rsidR="00B51B52" w:rsidRDefault="00B51B52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FA2B21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A2B21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библиографическое и 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обслуживание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  - подписка на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периодические издания.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03.1.05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FA2B2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Повышение имиджа  библиотек, стимулирование 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творческий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деятельности  работников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Кочишевская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– Центр татарской культуры;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Отогуртская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– Центр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бесермянской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Сохранение и возрождение национальных культур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В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Правовое воспитание населения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в 2015 г. мероприятий по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расшир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информ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технологий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Доступ  филиалов к сети Интернет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Доля компьютеризированных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библиотек в общем количестве библиотек-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100%,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03.1.07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В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2015-2020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Информирование населения об организации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Доступ всех филиалов к сети Интернет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Методическая работа в установленной сфере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Предоставление качественных услуг по организации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проведению культурно-массовых мероприятий</w:t>
            </w:r>
          </w:p>
          <w:p w:rsidR="00A07184" w:rsidRPr="00BC3CF9" w:rsidRDefault="00A07184" w:rsidP="00121E7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</w:t>
            </w:r>
            <w:r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>учреждений</w:t>
            </w:r>
            <w:r w:rsidR="00FA2B21"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>,</w:t>
            </w:r>
            <w:r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A07184" w:rsidRPr="00BC3CF9" w:rsidRDefault="00A07184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культуры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.в</w:t>
            </w:r>
            <w:proofErr w:type="spellEnd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:rsidR="00A07184" w:rsidRPr="00BC3CF9" w:rsidRDefault="00A07184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03.2.02-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,2019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Смотр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 xml:space="preserve">Повышение качества </w:t>
            </w:r>
            <w:proofErr w:type="spellStart"/>
            <w:r w:rsidRPr="00BC3CF9">
              <w:rPr>
                <w:rFonts w:eastAsia="Times New Roman" w:cs="Times New Roman"/>
                <w:szCs w:val="24"/>
              </w:rPr>
              <w:t>испол</w:t>
            </w:r>
            <w:proofErr w:type="spellEnd"/>
            <w:r w:rsidRPr="00BC3CF9">
              <w:rPr>
                <w:rFonts w:eastAsia="Times New Roman" w:cs="Times New Roman"/>
                <w:szCs w:val="24"/>
              </w:rPr>
              <w:t>. Мастерства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Более 300 детей участвует  в  информационных и культурн</w:t>
            </w:r>
            <w:proofErr w:type="gramStart"/>
            <w:r w:rsidRPr="00BC3CF9">
              <w:rPr>
                <w:rFonts w:eastAsia="Times New Roman" w:cs="Times New Roman"/>
                <w:szCs w:val="24"/>
              </w:rPr>
              <w:t>о-</w:t>
            </w:r>
            <w:proofErr w:type="gramEnd"/>
            <w:r w:rsidRPr="00BC3CF9">
              <w:rPr>
                <w:rFonts w:eastAsia="Times New Roman" w:cs="Times New Roman"/>
                <w:szCs w:val="24"/>
              </w:rPr>
              <w:t xml:space="preserve"> массовых мероприятиях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Итоговая конференция, посвященная празднованию Дня работника культуры</w:t>
            </w:r>
          </w:p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Конкурс «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Лучшая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32659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32659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открытый детский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межрайонный фестиваль обрядов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Вашкала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Чупчипал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2016.2018.2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Сохранение нематериального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 «Успех» за вклад в развитие культуры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Ежегодное присуждение    премии за вклад в развитие культуры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451CE3" w:rsidRDefault="000960C8" w:rsidP="00B3660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451CE3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укрепление межнациональных отношений</w:t>
            </w:r>
            <w:proofErr w:type="gramStart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 приобщение молодежи к традиционной культуре,  развитие и </w:t>
            </w: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популяризация народного художественного и декоративно-прикладного  творчества.</w:t>
            </w:r>
          </w:p>
          <w:p w:rsidR="000960C8" w:rsidRPr="00451CE3" w:rsidRDefault="000960C8" w:rsidP="00B36605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.</w:t>
            </w:r>
            <w:proofErr w:type="gramEnd"/>
            <w:r w:rsidRPr="00451CE3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03.2.02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03.2.05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0960C8" w:rsidRPr="00BC3CF9" w:rsidRDefault="000960C8" w:rsidP="00121E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2015 - 2020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03.2. 06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03.2. 13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121E7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2015 - 2020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Информирование населения района о планируемых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проведенных культурно-досуговых мероприятиях</w:t>
            </w:r>
          </w:p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2015-2020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Обеспечение информированности и доступа к услугам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121E7B">
            <w:pPr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0960C8" w:rsidRPr="00BC3CF9" w:rsidRDefault="000960C8" w:rsidP="00121E7B">
            <w:pPr>
              <w:rPr>
                <w:rFonts w:eastAsia="Calibri" w:cs="Times New Roman"/>
                <w:bCs/>
                <w:szCs w:val="24"/>
              </w:rPr>
            </w:pPr>
          </w:p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0960C8" w:rsidRPr="00BC3CF9" w:rsidRDefault="000960C8" w:rsidP="00121E7B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(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Посещ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на 1 жит в год, - 0,79)</w:t>
            </w:r>
          </w:p>
          <w:p w:rsidR="000960C8" w:rsidRPr="00BC3CF9" w:rsidRDefault="000960C8" w:rsidP="00121E7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03.2.07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Пополнение муниципального фонда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политики МО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Количество предметов  не менее  5 тыс. единиц хранения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03.2.09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0D2F4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0D2F45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B36605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B3660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0960C8" w:rsidRPr="00BC3CF9" w:rsidRDefault="000960C8" w:rsidP="00121E7B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(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Посещ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на 1 жит в год)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-0,79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03.2.08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сохранение, развитие и пропаганда традиционной культуры народов, проживающих на территории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района, обеспечение творческой деятельности населения;</w:t>
            </w:r>
            <w:r w:rsidRPr="00BC3CF9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Туган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авыл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СосеДДушка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межрайонный фестиваль песенной культуры северных удмуртов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Пестросаес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2015, 2017.2019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Развитие традиционной песенной культуры, сохранение нематериального культурного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наследия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104" w:firstLine="540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традиционных народных праздников: </w:t>
            </w:r>
            <w:proofErr w:type="gramStart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Корбан</w:t>
            </w:r>
            <w:proofErr w:type="spellEnd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 на республиканских и межрегиональных выставках.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Поддержка национальных самобытных коллективов </w:t>
            </w: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lastRenderedPageBreak/>
              <w:t>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Организация концертной деятельности и участия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коллективов в республиканских и региональных мероприятиях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2016,.2019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1439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60C8" w:rsidRPr="00BC3CF9" w:rsidRDefault="000960C8" w:rsidP="00A12B9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03.4.           Развитие туризма в муниципальном образовании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район»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A2B21">
            <w:pPr>
              <w:pStyle w:val="af8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</w:pPr>
            <w:r w:rsidRPr="00BC3CF9">
              <w:t xml:space="preserve">Мероприятия, направленные на развитие внутреннего и въездного туризма </w:t>
            </w:r>
            <w:r w:rsidR="00FA2B21">
              <w:t xml:space="preserve">в </w:t>
            </w:r>
            <w:proofErr w:type="spellStart"/>
            <w:r w:rsidR="00FA2B21">
              <w:t>Глазовском</w:t>
            </w:r>
            <w:proofErr w:type="spellEnd"/>
            <w:r w:rsidR="00FA2B21">
              <w:t xml:space="preserve"> районе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Проектная деятельность по развитию туризма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-350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 xml:space="preserve">2. Увеличение объема внутреннего </w:t>
            </w:r>
            <w:r w:rsidRPr="00BC3CF9">
              <w:rPr>
                <w:szCs w:val="24"/>
              </w:rPr>
              <w:lastRenderedPageBreak/>
              <w:t>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lastRenderedPageBreak/>
              <w:t>03.04.01-03.04.02</w:t>
            </w:r>
          </w:p>
        </w:tc>
      </w:tr>
    </w:tbl>
    <w:p w:rsidR="009A674D" w:rsidRPr="00BC3CF9" w:rsidRDefault="009A674D" w:rsidP="009A674D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9A674D" w:rsidRPr="00BC3CF9" w:rsidRDefault="009A674D" w:rsidP="009A674D">
      <w:pPr>
        <w:rPr>
          <w:szCs w:val="24"/>
        </w:rPr>
      </w:pPr>
    </w:p>
    <w:p w:rsidR="00DF715F" w:rsidRDefault="00DF715F"/>
    <w:sectPr w:rsidR="00DF715F" w:rsidSect="00F61F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4"/>
  </w:num>
  <w:num w:numId="9">
    <w:abstractNumId w:val="15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  <w:num w:numId="15">
    <w:abstractNumId w:val="11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4D"/>
    <w:rsid w:val="000960C8"/>
    <w:rsid w:val="000E541F"/>
    <w:rsid w:val="00121E7B"/>
    <w:rsid w:val="001E2010"/>
    <w:rsid w:val="00201663"/>
    <w:rsid w:val="00287877"/>
    <w:rsid w:val="0032659F"/>
    <w:rsid w:val="00414532"/>
    <w:rsid w:val="00611490"/>
    <w:rsid w:val="00816DD9"/>
    <w:rsid w:val="008565D8"/>
    <w:rsid w:val="009A45DA"/>
    <w:rsid w:val="009A674D"/>
    <w:rsid w:val="00A07184"/>
    <w:rsid w:val="00A12B9C"/>
    <w:rsid w:val="00B43601"/>
    <w:rsid w:val="00B51B52"/>
    <w:rsid w:val="00BC3CF9"/>
    <w:rsid w:val="00C127CE"/>
    <w:rsid w:val="00C87DDB"/>
    <w:rsid w:val="00D00A2A"/>
    <w:rsid w:val="00D053BB"/>
    <w:rsid w:val="00DF715F"/>
    <w:rsid w:val="00F55A3A"/>
    <w:rsid w:val="00F61FED"/>
    <w:rsid w:val="00FA2B21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paragraph" w:styleId="1">
    <w:name w:val="heading 1"/>
    <w:basedOn w:val="a"/>
    <w:next w:val="a"/>
    <w:link w:val="10"/>
    <w:qFormat/>
    <w:rsid w:val="009A674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9A674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A674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10">
    <w:name w:val="Заголовок 1 Знак"/>
    <w:basedOn w:val="a0"/>
    <w:link w:val="1"/>
    <w:rsid w:val="009A674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9A674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74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9A674D"/>
  </w:style>
  <w:style w:type="paragraph" w:customStyle="1" w:styleId="12">
    <w:name w:val="Абзац списка1"/>
    <w:basedOn w:val="a"/>
    <w:link w:val="a4"/>
    <w:rsid w:val="009A674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4">
    <w:name w:val="Абзац списка Знак"/>
    <w:link w:val="12"/>
    <w:locked/>
    <w:rsid w:val="009A674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9A674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9A674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9A674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5">
    <w:name w:val="Hyperlink"/>
    <w:rsid w:val="009A674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9A674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9A67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A674D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A674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674D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rsid w:val="009A67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9A674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9A674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e">
    <w:name w:val="Title"/>
    <w:basedOn w:val="a"/>
    <w:next w:val="af"/>
    <w:link w:val="af0"/>
    <w:qFormat/>
    <w:rsid w:val="009A674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0">
    <w:name w:val="Название Знак"/>
    <w:basedOn w:val="a0"/>
    <w:link w:val="ae"/>
    <w:rsid w:val="009A674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">
    <w:name w:val="Subtitle"/>
    <w:basedOn w:val="a"/>
    <w:next w:val="a"/>
    <w:link w:val="af1"/>
    <w:qFormat/>
    <w:rsid w:val="009A674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1">
    <w:name w:val="Подзаголовок Знак"/>
    <w:basedOn w:val="a0"/>
    <w:link w:val="af"/>
    <w:rsid w:val="009A674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2">
    <w:name w:val="Normal (Web)"/>
    <w:basedOn w:val="a"/>
    <w:rsid w:val="009A674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A674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A674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9A674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9A674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9A674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5">
    <w:name w:val="Body Text Indent"/>
    <w:basedOn w:val="a"/>
    <w:link w:val="af6"/>
    <w:semiHidden/>
    <w:rsid w:val="009A674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9A674D"/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_"/>
    <w:link w:val="31"/>
    <w:rsid w:val="009A674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7"/>
    <w:rsid w:val="009A674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9A67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9A674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8">
    <w:name w:val="List Paragraph"/>
    <w:basedOn w:val="a"/>
    <w:qFormat/>
    <w:rsid w:val="009A674D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24">
    <w:name w:val="Абзац списка2"/>
    <w:basedOn w:val="a"/>
    <w:rsid w:val="009A674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paragraph" w:styleId="1">
    <w:name w:val="heading 1"/>
    <w:basedOn w:val="a"/>
    <w:next w:val="a"/>
    <w:link w:val="10"/>
    <w:qFormat/>
    <w:rsid w:val="009A674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9A674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A674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10">
    <w:name w:val="Заголовок 1 Знак"/>
    <w:basedOn w:val="a0"/>
    <w:link w:val="1"/>
    <w:rsid w:val="009A674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9A674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74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9A674D"/>
  </w:style>
  <w:style w:type="paragraph" w:customStyle="1" w:styleId="12">
    <w:name w:val="Абзац списка1"/>
    <w:basedOn w:val="a"/>
    <w:link w:val="a4"/>
    <w:rsid w:val="009A674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4">
    <w:name w:val="Абзац списка Знак"/>
    <w:link w:val="12"/>
    <w:locked/>
    <w:rsid w:val="009A674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9A674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9A674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9A674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5">
    <w:name w:val="Hyperlink"/>
    <w:rsid w:val="009A674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9A674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9A67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A674D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A674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674D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rsid w:val="009A67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9A674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9A674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e">
    <w:name w:val="Title"/>
    <w:basedOn w:val="a"/>
    <w:next w:val="af"/>
    <w:link w:val="af0"/>
    <w:qFormat/>
    <w:rsid w:val="009A674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0">
    <w:name w:val="Название Знак"/>
    <w:basedOn w:val="a0"/>
    <w:link w:val="ae"/>
    <w:rsid w:val="009A674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">
    <w:name w:val="Subtitle"/>
    <w:basedOn w:val="a"/>
    <w:next w:val="a"/>
    <w:link w:val="af1"/>
    <w:qFormat/>
    <w:rsid w:val="009A674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1">
    <w:name w:val="Подзаголовок Знак"/>
    <w:basedOn w:val="a0"/>
    <w:link w:val="af"/>
    <w:rsid w:val="009A674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2">
    <w:name w:val="Normal (Web)"/>
    <w:basedOn w:val="a"/>
    <w:rsid w:val="009A674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A674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A674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9A674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9A674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9A674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5">
    <w:name w:val="Body Text Indent"/>
    <w:basedOn w:val="a"/>
    <w:link w:val="af6"/>
    <w:semiHidden/>
    <w:rsid w:val="009A674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9A674D"/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_"/>
    <w:link w:val="31"/>
    <w:rsid w:val="009A674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7"/>
    <w:rsid w:val="009A674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9A67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9A674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8">
    <w:name w:val="List Paragraph"/>
    <w:basedOn w:val="a"/>
    <w:qFormat/>
    <w:rsid w:val="009A674D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24">
    <w:name w:val="Абзац списка2"/>
    <w:basedOn w:val="a"/>
    <w:rsid w:val="009A674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8F23-8681-42D9-8BB7-07738B85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21</Pages>
  <Words>4107</Words>
  <Characters>23414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14</cp:revision>
  <cp:lastPrinted>2016-01-21T11:59:00Z</cp:lastPrinted>
  <dcterms:created xsi:type="dcterms:W3CDTF">2015-11-04T06:49:00Z</dcterms:created>
  <dcterms:modified xsi:type="dcterms:W3CDTF">2016-01-21T12:00:00Z</dcterms:modified>
</cp:coreProperties>
</file>