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DE" w:rsidRDefault="007354DE" w:rsidP="007354D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FE3BEF" w:rsidRPr="00787246" w:rsidRDefault="00FE3BEF" w:rsidP="00FE3BEF">
      <w:pPr>
        <w:jc w:val="center"/>
        <w:outlineLvl w:val="0"/>
        <w:rPr>
          <w:b/>
        </w:rPr>
      </w:pPr>
      <w:r w:rsidRPr="00787246">
        <w:rPr>
          <w:b/>
        </w:rPr>
        <w:t>ГЛАВА МУНИЦИПАЛЬНОГО ОБРАЗОВАНИЯ «ШТАНИГУРТСКОЕ»</w:t>
      </w:r>
    </w:p>
    <w:p w:rsidR="00FE3BEF" w:rsidRPr="00787246" w:rsidRDefault="00FE3BEF" w:rsidP="00FE3BEF">
      <w:pPr>
        <w:jc w:val="center"/>
        <w:outlineLvl w:val="0"/>
        <w:rPr>
          <w:b/>
        </w:rPr>
      </w:pPr>
      <w:r w:rsidRPr="00787246">
        <w:rPr>
          <w:b/>
        </w:rPr>
        <w:t xml:space="preserve">«ШТАНИГУРТ» МУНИЦИПАЛ КЫЛДЫТЭТЛЭН ТОРОЕЗ  </w:t>
      </w:r>
    </w:p>
    <w:p w:rsidR="00FE3BEF" w:rsidRPr="00787246" w:rsidRDefault="00FE3BEF" w:rsidP="00FE3BEF">
      <w:pPr>
        <w:jc w:val="both"/>
      </w:pPr>
    </w:p>
    <w:p w:rsidR="00FE3BEF" w:rsidRPr="00787246" w:rsidRDefault="00FE3BEF" w:rsidP="00FE3BEF">
      <w:pPr>
        <w:jc w:val="both"/>
      </w:pPr>
    </w:p>
    <w:p w:rsidR="00FE3BEF" w:rsidRPr="00787246" w:rsidRDefault="00FE3BEF" w:rsidP="00FE3BEF">
      <w:pPr>
        <w:tabs>
          <w:tab w:val="left" w:pos="3495"/>
        </w:tabs>
        <w:jc w:val="both"/>
        <w:rPr>
          <w:b/>
        </w:rPr>
      </w:pPr>
      <w:r w:rsidRPr="00787246">
        <w:rPr>
          <w:b/>
        </w:rPr>
        <w:tab/>
        <w:t>ПОСТАНОВЛЕНИЕ</w:t>
      </w:r>
    </w:p>
    <w:p w:rsidR="00FE3BEF" w:rsidRPr="00787246" w:rsidRDefault="00FE3BEF" w:rsidP="00FE3BEF">
      <w:pPr>
        <w:jc w:val="both"/>
      </w:pPr>
    </w:p>
    <w:p w:rsidR="00FE3BEF" w:rsidRPr="00787246" w:rsidRDefault="00FE3BEF" w:rsidP="00FE3BEF">
      <w:pPr>
        <w:rPr>
          <w:b/>
          <w:color w:val="000000" w:themeColor="text1"/>
        </w:rPr>
      </w:pPr>
      <w:r w:rsidRPr="00787246">
        <w:rPr>
          <w:b/>
          <w:color w:val="000000" w:themeColor="text1"/>
        </w:rPr>
        <w:t>29 июня 2017 года</w:t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</w:r>
      <w:r w:rsidRPr="00787246">
        <w:rPr>
          <w:b/>
          <w:color w:val="000000" w:themeColor="text1"/>
        </w:rPr>
        <w:tab/>
        <w:t xml:space="preserve">             №</w:t>
      </w:r>
      <w:r>
        <w:rPr>
          <w:b/>
          <w:color w:val="000000" w:themeColor="text1"/>
        </w:rPr>
        <w:t xml:space="preserve"> 9</w:t>
      </w:r>
    </w:p>
    <w:p w:rsidR="00FE3BEF" w:rsidRDefault="00FE3BEF" w:rsidP="007354D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FE3BEF" w:rsidRDefault="00FE3BEF" w:rsidP="007354D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7354DE" w:rsidRPr="00FE3BEF" w:rsidRDefault="007354DE" w:rsidP="007354DE">
      <w:pPr>
        <w:ind w:firstLine="709"/>
        <w:jc w:val="center"/>
        <w:rPr>
          <w:rFonts w:eastAsia="Calibri"/>
          <w:b/>
          <w:sz w:val="26"/>
          <w:szCs w:val="26"/>
          <w:lang w:eastAsia="en-US"/>
        </w:rPr>
      </w:pPr>
      <w:r w:rsidRPr="00FE3BEF">
        <w:rPr>
          <w:rFonts w:eastAsia="Calibri"/>
          <w:b/>
          <w:sz w:val="26"/>
          <w:szCs w:val="26"/>
          <w:lang w:eastAsia="en-US"/>
        </w:rPr>
        <w:t>Условия о проведении мероприятий по благоустройству дворовых и общественных территорий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</w:t>
      </w:r>
      <w:r w:rsidR="00FE3BEF">
        <w:rPr>
          <w:rFonts w:eastAsia="Calibri"/>
          <w:b/>
          <w:sz w:val="26"/>
          <w:szCs w:val="26"/>
          <w:lang w:eastAsia="en-US"/>
        </w:rPr>
        <w:t>х маломобильных групп населения</w:t>
      </w:r>
    </w:p>
    <w:p w:rsidR="007354DE" w:rsidRPr="008F3DE9" w:rsidRDefault="007354DE" w:rsidP="007354DE">
      <w:pPr>
        <w:ind w:firstLine="709"/>
        <w:jc w:val="center"/>
        <w:rPr>
          <w:rFonts w:eastAsia="Calibri"/>
          <w:sz w:val="26"/>
          <w:szCs w:val="26"/>
          <w:lang w:eastAsia="en-US"/>
        </w:rPr>
      </w:pP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proofErr w:type="gramStart"/>
      <w:r w:rsidRPr="008F3DE9">
        <w:rPr>
          <w:rFonts w:cs="Arial"/>
          <w:sz w:val="26"/>
          <w:szCs w:val="26"/>
        </w:rPr>
        <w:t xml:space="preserve">Мероприятия, проводимые по благоустройству дворовых и общественных территорий, включенных в  подпрограмму  «Формирование современной городской среды </w:t>
      </w:r>
      <w:r>
        <w:rPr>
          <w:rFonts w:cs="Arial"/>
          <w:sz w:val="26"/>
          <w:szCs w:val="26"/>
        </w:rPr>
        <w:t xml:space="preserve">в </w:t>
      </w:r>
      <w:r w:rsidRPr="008F3DE9">
        <w:rPr>
          <w:rFonts w:cs="Arial"/>
          <w:sz w:val="26"/>
          <w:szCs w:val="26"/>
        </w:rPr>
        <w:t>муниципально</w:t>
      </w:r>
      <w:r>
        <w:rPr>
          <w:rFonts w:cs="Arial"/>
          <w:sz w:val="26"/>
          <w:szCs w:val="26"/>
        </w:rPr>
        <w:t>м</w:t>
      </w:r>
      <w:r w:rsidRPr="008F3DE9">
        <w:rPr>
          <w:rFonts w:cs="Arial"/>
          <w:sz w:val="26"/>
          <w:szCs w:val="26"/>
        </w:rPr>
        <w:t xml:space="preserve"> образовани</w:t>
      </w:r>
      <w:r>
        <w:rPr>
          <w:rFonts w:cs="Arial"/>
          <w:sz w:val="26"/>
          <w:szCs w:val="26"/>
        </w:rPr>
        <w:t>и</w:t>
      </w:r>
      <w:r w:rsidR="00FE3BEF">
        <w:rPr>
          <w:rFonts w:cs="Arial"/>
          <w:sz w:val="26"/>
          <w:szCs w:val="26"/>
        </w:rPr>
        <w:t xml:space="preserve"> «</w:t>
      </w:r>
      <w:proofErr w:type="spellStart"/>
      <w:r w:rsidR="00FE3BEF">
        <w:rPr>
          <w:rFonts w:cs="Arial"/>
          <w:sz w:val="26"/>
          <w:szCs w:val="26"/>
        </w:rPr>
        <w:t>Штанигуртское</w:t>
      </w:r>
      <w:proofErr w:type="spellEnd"/>
      <w:r w:rsidRPr="008F3DE9">
        <w:rPr>
          <w:rFonts w:cs="Arial"/>
          <w:sz w:val="26"/>
          <w:szCs w:val="26"/>
        </w:rPr>
        <w:t xml:space="preserve">» </w:t>
      </w:r>
      <w:r>
        <w:rPr>
          <w:rFonts w:cs="Arial"/>
          <w:sz w:val="26"/>
          <w:szCs w:val="26"/>
        </w:rPr>
        <w:t>на</w:t>
      </w:r>
      <w:r w:rsidR="00FE3BEF">
        <w:rPr>
          <w:rFonts w:cs="Arial"/>
          <w:sz w:val="26"/>
          <w:szCs w:val="26"/>
        </w:rPr>
        <w:t xml:space="preserve"> 2018-2022</w:t>
      </w:r>
      <w:r w:rsidRPr="008F3DE9">
        <w:rPr>
          <w:rFonts w:cs="Arial"/>
          <w:sz w:val="26"/>
          <w:szCs w:val="26"/>
        </w:rPr>
        <w:t xml:space="preserve"> год</w:t>
      </w:r>
      <w:r w:rsidR="00FE3BEF">
        <w:rPr>
          <w:rFonts w:cs="Arial"/>
          <w:sz w:val="26"/>
          <w:szCs w:val="26"/>
        </w:rPr>
        <w:t>ы</w:t>
      </w:r>
      <w:r w:rsidRPr="008F3DE9">
        <w:rPr>
          <w:rFonts w:cs="Arial"/>
          <w:sz w:val="26"/>
          <w:szCs w:val="26"/>
        </w:rPr>
        <w:t>» должны выполняться с учетом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 и соответствовать требованиям СП 42.13330.2011.Градостроительство и СП 59.13330.2012.</w:t>
      </w:r>
      <w:proofErr w:type="gramEnd"/>
      <w:r w:rsidRPr="008F3DE9">
        <w:rPr>
          <w:rFonts w:cs="Arial"/>
          <w:sz w:val="26"/>
          <w:szCs w:val="26"/>
        </w:rPr>
        <w:t xml:space="preserve"> Доступность зданий и сооружений для маломобильных групп населения,  Федеральному закону от 24 ноября 1995 года № 181-ФЗ «О социальной защите инвалидов в Российской Федерации» (далее-Мероприятия).   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Основные понятия: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1. Пандус: сооружение, имеющее сплошную наклонную по направлению движения поверхность, предназначенное для перемещения с одного уровня горизонтальной поверхности пути на другой, в том числе на кресле-коляске.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2. Пандус бордюрный: сооружение, предназначенное для спуска с тротуара на полотно дороги.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3. Пандус инвентарный: сооружение временного или эпизодического использования, например сборно-разборный, откидной, выдвижной и т.д.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4.  Поперечный уклон: уклон поверхности, перпендикулярный направлению движения.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5. Поручень: компонент лестницы или пандуса, который задает направление и обеспечивает поддержку на уровне руки при движении.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Примечание. Поручень может быть верхом ограждения.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 xml:space="preserve">6. Придомовая территория: участок около жилого многоквартирного здания, включающий пешеходные пути </w:t>
      </w:r>
      <w:proofErr w:type="gramStart"/>
      <w:r w:rsidRPr="008F3DE9">
        <w:rPr>
          <w:rFonts w:cs="Arial"/>
          <w:sz w:val="26"/>
          <w:szCs w:val="26"/>
        </w:rPr>
        <w:t>ко</w:t>
      </w:r>
      <w:proofErr w:type="gramEnd"/>
      <w:r w:rsidRPr="008F3DE9">
        <w:rPr>
          <w:rFonts w:cs="Arial"/>
          <w:sz w:val="26"/>
          <w:szCs w:val="26"/>
        </w:rPr>
        <w:t xml:space="preserve"> входам, подъезды к дому и площадки для жильцов данного дома - детские, спортивные, для отдыха, для контейнеров, для выгула собак и т.п.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7. Продольный уклон: уклон поверхности, параллельный направлению движения.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Мероприятия должны обеспечить повышение комфортности проживания граждан (с учетом обеспечения доступности для маломобильных групп населения):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- устройство спусков (пандусов) для маломобильных групп населения в соответствии с СП 42.13330.2011.Градостроительство и СП 59.13330.2012. Доступность зданий и сооружений для маломобильных групп населения:</w:t>
      </w:r>
      <w:r w:rsidRPr="008F3DE9">
        <w:rPr>
          <w:rFonts w:ascii="Arial" w:hAnsi="Arial" w:cs="Arial"/>
          <w:sz w:val="26"/>
          <w:szCs w:val="26"/>
        </w:rPr>
        <w:t xml:space="preserve"> 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 xml:space="preserve">- пешеходные пути с возможностью проезда механических инвалидных колясок. </w:t>
      </w:r>
      <w:proofErr w:type="gramStart"/>
      <w:r w:rsidRPr="008F3DE9">
        <w:rPr>
          <w:rFonts w:cs="Arial"/>
          <w:sz w:val="26"/>
          <w:szCs w:val="26"/>
        </w:rPr>
        <w:t xml:space="preserve">При этом высота вертикальных препятствий (бортовые камни, </w:t>
      </w:r>
      <w:proofErr w:type="spellStart"/>
      <w:r w:rsidRPr="008F3DE9">
        <w:rPr>
          <w:rFonts w:cs="Arial"/>
          <w:sz w:val="26"/>
          <w:szCs w:val="26"/>
        </w:rPr>
        <w:t>поребрики</w:t>
      </w:r>
      <w:proofErr w:type="spellEnd"/>
      <w:r w:rsidRPr="008F3DE9">
        <w:rPr>
          <w:rFonts w:cs="Arial"/>
          <w:sz w:val="26"/>
          <w:szCs w:val="26"/>
        </w:rPr>
        <w:t xml:space="preserve">) на пути </w:t>
      </w:r>
      <w:r w:rsidRPr="008F3DE9">
        <w:rPr>
          <w:rFonts w:cs="Arial"/>
          <w:sz w:val="26"/>
          <w:szCs w:val="26"/>
        </w:rPr>
        <w:lastRenderedPageBreak/>
        <w:t xml:space="preserve">следования не должна превышать 5 см; не допускаются крутые (более </w:t>
      </w:r>
      <w:r>
        <w:rPr>
          <w:rFonts w:cs="Arial"/>
          <w:noProof/>
          <w:sz w:val="26"/>
          <w:szCs w:val="26"/>
        </w:rPr>
        <w:drawing>
          <wp:inline distT="0" distB="0" distL="0" distR="0">
            <wp:extent cx="419100" cy="1809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DE9">
        <w:rPr>
          <w:rFonts w:cs="Arial"/>
          <w:sz w:val="26"/>
          <w:szCs w:val="26"/>
        </w:rPr>
        <w:t xml:space="preserve">) короткие рампы, а также продольные уклоны тротуаров и пешеходных дорог более </w:t>
      </w:r>
      <w:r>
        <w:rPr>
          <w:rFonts w:cs="Arial"/>
          <w:noProof/>
          <w:sz w:val="26"/>
          <w:szCs w:val="26"/>
        </w:rPr>
        <w:drawing>
          <wp:inline distT="0" distB="0" distL="0" distR="0">
            <wp:extent cx="361950" cy="1809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3DE9">
        <w:rPr>
          <w:rFonts w:cs="Arial"/>
          <w:sz w:val="26"/>
          <w:szCs w:val="26"/>
        </w:rPr>
        <w:t xml:space="preserve">. На путях с уклонами </w:t>
      </w:r>
      <w:r>
        <w:rPr>
          <w:rFonts w:cs="Arial"/>
          <w:noProof/>
          <w:sz w:val="26"/>
          <w:szCs w:val="26"/>
        </w:rPr>
        <w:t>30-60%</w:t>
      </w:r>
      <w:r w:rsidRPr="008F3DE9">
        <w:rPr>
          <w:rFonts w:cs="Arial"/>
          <w:sz w:val="26"/>
          <w:szCs w:val="26"/>
        </w:rPr>
        <w:t xml:space="preserve"> необходимо не реже чем через 100 м устраивать горизонтальные участки длиной не менее 5 м.</w:t>
      </w:r>
      <w:proofErr w:type="gramEnd"/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proofErr w:type="gramStart"/>
      <w:r w:rsidRPr="008F3DE9">
        <w:rPr>
          <w:rFonts w:cs="Arial"/>
          <w:sz w:val="26"/>
          <w:szCs w:val="26"/>
        </w:rPr>
        <w:t>Ширина пешеходного пути с учетом встречного движения инвалидов на креслах-колясках должна быть не менее 2,0 м. В условиях сложившейся застройки допускается в пределах прямой видимости снижать ширину пути движения до 1,2 м. При этом следует устраивать не более чем через каждые 25 м горизонтальные площадки (карманы) размером не менее 2,0 x 1,8 м для обеспечения возможности разъезда инвалидов на креслах-колясках.</w:t>
      </w:r>
      <w:proofErr w:type="gramEnd"/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Продольный уклон путей движения, по которому возможен проезд инвалидов на креслах-колясках, не должен превышать 5%, поперечный - 2%.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Примечание. Все параметры ширины и высоты коммуникационных путей приводятся в чистоте (в свету).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При устройстве съездов с тротуара на транспортный проезд уклон должен быть не более 1:12, а около здания и в затесненных местах допускается увеличивать продольный уклон до 1:10 на протяжении не более 10 м.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Бордюрные пандусы на пешеходных переходах должны полностью располагаться в пределах зоны, предназначенной для пешеходов, и не должны выступать на проезжую часть. Перепад высот в местах съезда на проезжую часть не должен превышать 0,015 м.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proofErr w:type="gramStart"/>
      <w:r w:rsidRPr="008F3DE9">
        <w:rPr>
          <w:rFonts w:cs="Arial"/>
          <w:sz w:val="26"/>
          <w:szCs w:val="26"/>
        </w:rPr>
        <w:t xml:space="preserve">Ширина лестничных маршей открытых лестниц должна быть не менее 1,35 м. Для открытых лестниц на перепадах рельефа ширину </w:t>
      </w:r>
      <w:proofErr w:type="spellStart"/>
      <w:r w:rsidRPr="008F3DE9">
        <w:rPr>
          <w:rFonts w:cs="Arial"/>
          <w:sz w:val="26"/>
          <w:szCs w:val="26"/>
        </w:rPr>
        <w:t>проступей</w:t>
      </w:r>
      <w:proofErr w:type="spellEnd"/>
      <w:r w:rsidRPr="008F3DE9">
        <w:rPr>
          <w:rFonts w:cs="Arial"/>
          <w:sz w:val="26"/>
          <w:szCs w:val="26"/>
        </w:rPr>
        <w:t xml:space="preserve"> следует принимать от 0,35 до 0,4 м, высоту </w:t>
      </w:r>
      <w:proofErr w:type="spellStart"/>
      <w:r w:rsidRPr="008F3DE9">
        <w:rPr>
          <w:rFonts w:cs="Arial"/>
          <w:sz w:val="26"/>
          <w:szCs w:val="26"/>
        </w:rPr>
        <w:t>подступенка</w:t>
      </w:r>
      <w:proofErr w:type="spellEnd"/>
      <w:r w:rsidRPr="008F3DE9">
        <w:rPr>
          <w:rFonts w:cs="Arial"/>
          <w:sz w:val="26"/>
          <w:szCs w:val="26"/>
        </w:rPr>
        <w:t xml:space="preserve"> - от 0,12 до 0,15 м. Все ступени лестниц в пределах одного марша должны быть одинаковыми по форме в плане, по размерам ширины проступи и высоты подъема ступеней.</w:t>
      </w:r>
      <w:proofErr w:type="gramEnd"/>
      <w:r w:rsidRPr="008F3DE9">
        <w:rPr>
          <w:rFonts w:cs="Arial"/>
          <w:sz w:val="26"/>
          <w:szCs w:val="26"/>
        </w:rPr>
        <w:t xml:space="preserve"> Поперечный уклон ступеней должен быть не более 2%.</w:t>
      </w:r>
    </w:p>
    <w:p w:rsidR="007354DE" w:rsidRPr="008F3DE9" w:rsidRDefault="007354DE" w:rsidP="007354DE">
      <w:pPr>
        <w:widowControl w:val="0"/>
        <w:autoSpaceDE w:val="0"/>
        <w:autoSpaceDN w:val="0"/>
        <w:adjustRightInd w:val="0"/>
        <w:ind w:firstLine="540"/>
        <w:jc w:val="both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 xml:space="preserve">Поверхность ступеней должна иметь </w:t>
      </w:r>
      <w:proofErr w:type="spellStart"/>
      <w:r w:rsidRPr="008F3DE9">
        <w:rPr>
          <w:rFonts w:cs="Arial"/>
          <w:sz w:val="26"/>
          <w:szCs w:val="26"/>
        </w:rPr>
        <w:t>антискользящее</w:t>
      </w:r>
      <w:proofErr w:type="spellEnd"/>
      <w:r w:rsidRPr="008F3DE9">
        <w:rPr>
          <w:rFonts w:cs="Arial"/>
          <w:sz w:val="26"/>
          <w:szCs w:val="26"/>
        </w:rPr>
        <w:t xml:space="preserve"> покрытие и быть шероховатой.</w:t>
      </w:r>
    </w:p>
    <w:p w:rsidR="007354DE" w:rsidRPr="008F3DE9" w:rsidRDefault="007354DE" w:rsidP="007354DE">
      <w:pPr>
        <w:ind w:firstLine="540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 xml:space="preserve">Не следует применять на путях движения маломобильных групп населения ступени с </w:t>
      </w:r>
      <w:proofErr w:type="gramStart"/>
      <w:r w:rsidRPr="008F3DE9">
        <w:rPr>
          <w:rFonts w:cs="Arial"/>
          <w:sz w:val="26"/>
          <w:szCs w:val="26"/>
        </w:rPr>
        <w:t>открытыми</w:t>
      </w:r>
      <w:proofErr w:type="gramEnd"/>
      <w:r w:rsidRPr="008F3DE9">
        <w:rPr>
          <w:rFonts w:cs="Arial"/>
          <w:sz w:val="26"/>
          <w:szCs w:val="26"/>
        </w:rPr>
        <w:t xml:space="preserve"> </w:t>
      </w:r>
      <w:proofErr w:type="spellStart"/>
      <w:r w:rsidRPr="008F3DE9">
        <w:rPr>
          <w:rFonts w:cs="Arial"/>
          <w:sz w:val="26"/>
          <w:szCs w:val="26"/>
        </w:rPr>
        <w:t>подступенками</w:t>
      </w:r>
      <w:proofErr w:type="spellEnd"/>
      <w:r w:rsidRPr="008F3DE9">
        <w:rPr>
          <w:rFonts w:cs="Arial"/>
          <w:sz w:val="26"/>
          <w:szCs w:val="26"/>
        </w:rPr>
        <w:t>.</w:t>
      </w:r>
    </w:p>
    <w:p w:rsidR="007354DE" w:rsidRPr="008F3DE9" w:rsidRDefault="007354DE" w:rsidP="007354DE">
      <w:pPr>
        <w:ind w:firstLine="540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Лестницы должны дублироваться пандусами или подъемными устройствами.</w:t>
      </w:r>
    </w:p>
    <w:p w:rsidR="007354DE" w:rsidRPr="008F3DE9" w:rsidRDefault="007354DE" w:rsidP="007354DE">
      <w:pPr>
        <w:ind w:firstLine="540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Наружные лестницы и пандусы должны быть оборудованы поручнями. Длина марша пандуса не должна превышать 9,0 м, а уклон не круче 1:20.</w:t>
      </w:r>
    </w:p>
    <w:p w:rsidR="007354DE" w:rsidRPr="008F3DE9" w:rsidRDefault="007354DE" w:rsidP="007354DE">
      <w:pPr>
        <w:ind w:firstLine="540"/>
        <w:rPr>
          <w:rFonts w:cs="Arial"/>
          <w:sz w:val="26"/>
          <w:szCs w:val="26"/>
        </w:rPr>
      </w:pPr>
      <w:r w:rsidRPr="008F3DE9">
        <w:rPr>
          <w:rFonts w:cs="Arial"/>
          <w:sz w:val="26"/>
          <w:szCs w:val="26"/>
        </w:rPr>
        <w:t>Ширина между поручнями пандуса должна быть в пределах 0,9 - 1,0 м.</w:t>
      </w:r>
    </w:p>
    <w:p w:rsidR="007354DE" w:rsidRPr="008F3DE9" w:rsidRDefault="007354DE" w:rsidP="007354DE">
      <w:pPr>
        <w:ind w:firstLine="540"/>
        <w:jc w:val="both"/>
        <w:rPr>
          <w:sz w:val="26"/>
          <w:szCs w:val="26"/>
        </w:rPr>
      </w:pPr>
      <w:r w:rsidRPr="008F3DE9">
        <w:rPr>
          <w:sz w:val="26"/>
          <w:szCs w:val="26"/>
        </w:rPr>
        <w:t xml:space="preserve">На дворовых и общественных территориях должно быть размещено оборудование и носители  информации, необходимые для обеспечения беспрепятственного доступа инвалидов с учетом ограничений их жизнедеятельности. </w:t>
      </w:r>
    </w:p>
    <w:p w:rsidR="007354DE" w:rsidRDefault="007354DE" w:rsidP="007354DE">
      <w:pPr>
        <w:ind w:firstLine="540"/>
        <w:jc w:val="both"/>
        <w:rPr>
          <w:sz w:val="26"/>
          <w:szCs w:val="26"/>
        </w:rPr>
      </w:pPr>
      <w:r w:rsidRPr="008F3DE9">
        <w:rPr>
          <w:sz w:val="26"/>
          <w:szCs w:val="26"/>
        </w:rPr>
        <w:t>Общественные территории должны быть обеспечены дублированием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7354DE" w:rsidRDefault="007354DE" w:rsidP="007354DE">
      <w:pPr>
        <w:jc w:val="both"/>
        <w:rPr>
          <w:sz w:val="26"/>
          <w:szCs w:val="26"/>
        </w:rPr>
      </w:pPr>
    </w:p>
    <w:p w:rsidR="007354DE" w:rsidRDefault="007354DE" w:rsidP="007354DE">
      <w:pPr>
        <w:jc w:val="both"/>
        <w:rPr>
          <w:sz w:val="26"/>
          <w:szCs w:val="26"/>
        </w:rPr>
      </w:pPr>
    </w:p>
    <w:p w:rsidR="00FE3BEF" w:rsidRPr="00FE3BEF" w:rsidRDefault="007354DE" w:rsidP="007354DE">
      <w:pPr>
        <w:tabs>
          <w:tab w:val="left" w:pos="7095"/>
        </w:tabs>
        <w:suppressAutoHyphens/>
        <w:jc w:val="both"/>
        <w:rPr>
          <w:b/>
          <w:sz w:val="26"/>
          <w:szCs w:val="26"/>
          <w:lang w:eastAsia="zh-CN"/>
        </w:rPr>
      </w:pPr>
      <w:bookmarkStart w:id="0" w:name="_GoBack"/>
      <w:r w:rsidRPr="00FE3BEF">
        <w:rPr>
          <w:b/>
          <w:sz w:val="26"/>
          <w:szCs w:val="26"/>
          <w:lang w:eastAsia="zh-CN"/>
        </w:rPr>
        <w:t>Глава  муниципального образования</w:t>
      </w:r>
    </w:p>
    <w:p w:rsidR="007354DE" w:rsidRPr="00FE3BEF" w:rsidRDefault="007354DE" w:rsidP="007354DE">
      <w:pPr>
        <w:tabs>
          <w:tab w:val="left" w:pos="7095"/>
        </w:tabs>
        <w:suppressAutoHyphens/>
        <w:jc w:val="both"/>
        <w:rPr>
          <w:b/>
          <w:sz w:val="26"/>
          <w:szCs w:val="26"/>
          <w:lang w:eastAsia="zh-CN"/>
        </w:rPr>
      </w:pPr>
      <w:r w:rsidRPr="00FE3BEF">
        <w:rPr>
          <w:b/>
          <w:sz w:val="26"/>
          <w:szCs w:val="26"/>
          <w:lang w:eastAsia="zh-CN"/>
        </w:rPr>
        <w:t xml:space="preserve">  </w:t>
      </w:r>
      <w:r w:rsidR="00FE3BEF" w:rsidRPr="00FE3BEF">
        <w:rPr>
          <w:b/>
          <w:sz w:val="26"/>
          <w:szCs w:val="26"/>
          <w:lang w:eastAsia="zh-CN"/>
        </w:rPr>
        <w:t>«</w:t>
      </w:r>
      <w:proofErr w:type="spellStart"/>
      <w:r w:rsidR="00FE3BEF" w:rsidRPr="00FE3BEF">
        <w:rPr>
          <w:b/>
          <w:sz w:val="26"/>
          <w:szCs w:val="26"/>
          <w:lang w:eastAsia="zh-CN"/>
        </w:rPr>
        <w:t>Штанигуртское</w:t>
      </w:r>
      <w:proofErr w:type="spellEnd"/>
      <w:r w:rsidRPr="00FE3BEF">
        <w:rPr>
          <w:b/>
          <w:sz w:val="26"/>
          <w:szCs w:val="26"/>
          <w:lang w:eastAsia="zh-CN"/>
        </w:rPr>
        <w:t>»</w:t>
      </w:r>
      <w:r w:rsidRPr="00FE3BEF">
        <w:rPr>
          <w:b/>
          <w:sz w:val="26"/>
          <w:szCs w:val="26"/>
          <w:lang w:eastAsia="zh-CN"/>
        </w:rPr>
        <w:tab/>
      </w:r>
      <w:proofErr w:type="spellStart"/>
      <w:r w:rsidR="00FE3BEF" w:rsidRPr="00FE3BEF">
        <w:rPr>
          <w:b/>
          <w:sz w:val="26"/>
          <w:szCs w:val="26"/>
          <w:lang w:eastAsia="zh-CN"/>
        </w:rPr>
        <w:t>П.И.Бузмаков</w:t>
      </w:r>
      <w:proofErr w:type="spellEnd"/>
    </w:p>
    <w:p w:rsidR="007354DE" w:rsidRPr="00FE3BEF" w:rsidRDefault="007354DE" w:rsidP="007354DE">
      <w:pPr>
        <w:suppressAutoHyphens/>
        <w:jc w:val="both"/>
        <w:rPr>
          <w:b/>
          <w:sz w:val="26"/>
          <w:szCs w:val="26"/>
          <w:lang w:eastAsia="zh-CN"/>
        </w:rPr>
      </w:pPr>
    </w:p>
    <w:p w:rsidR="007354DE" w:rsidRPr="00FE3BEF" w:rsidRDefault="007354DE" w:rsidP="007354DE">
      <w:pPr>
        <w:suppressAutoHyphens/>
        <w:jc w:val="both"/>
        <w:rPr>
          <w:b/>
          <w:sz w:val="26"/>
          <w:szCs w:val="26"/>
          <w:lang w:eastAsia="zh-CN"/>
        </w:rPr>
      </w:pPr>
    </w:p>
    <w:bookmarkEnd w:id="0"/>
    <w:p w:rsidR="007354DE" w:rsidRDefault="007354DE" w:rsidP="007354DE">
      <w:pPr>
        <w:suppressAutoHyphens/>
        <w:jc w:val="both"/>
        <w:rPr>
          <w:sz w:val="26"/>
          <w:szCs w:val="26"/>
          <w:lang w:eastAsia="zh-CN"/>
        </w:rPr>
      </w:pPr>
    </w:p>
    <w:p w:rsidR="007354DE" w:rsidRDefault="007354DE" w:rsidP="007354DE">
      <w:pPr>
        <w:suppressAutoHyphens/>
        <w:jc w:val="both"/>
        <w:rPr>
          <w:sz w:val="26"/>
          <w:szCs w:val="26"/>
          <w:lang w:eastAsia="zh-CN"/>
        </w:rPr>
      </w:pPr>
    </w:p>
    <w:p w:rsidR="007354DE" w:rsidRDefault="007354DE" w:rsidP="007354DE"/>
    <w:p w:rsidR="008E6772" w:rsidRDefault="008E6772"/>
    <w:sectPr w:rsidR="008E6772" w:rsidSect="007B49FE"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EE1"/>
    <w:rsid w:val="007354DE"/>
    <w:rsid w:val="008E6772"/>
    <w:rsid w:val="00D63EE1"/>
    <w:rsid w:val="00FE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4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4D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4D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4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2017-07-24T06:04:00Z</cp:lastPrinted>
  <dcterms:created xsi:type="dcterms:W3CDTF">2017-07-24T06:01:00Z</dcterms:created>
  <dcterms:modified xsi:type="dcterms:W3CDTF">2017-07-24T06:06:00Z</dcterms:modified>
</cp:coreProperties>
</file>