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7E66E8">
        <w:rPr>
          <w:b/>
          <w:bCs/>
          <w:sz w:val="20"/>
          <w:szCs w:val="20"/>
        </w:rPr>
        <w:t>12</w:t>
      </w:r>
      <w:r w:rsidR="006225EF">
        <w:rPr>
          <w:b/>
          <w:bCs/>
          <w:sz w:val="20"/>
          <w:szCs w:val="20"/>
        </w:rPr>
        <w:t xml:space="preserve"> по </w:t>
      </w:r>
      <w:r w:rsidR="007E66E8">
        <w:rPr>
          <w:b/>
          <w:bCs/>
          <w:sz w:val="20"/>
          <w:szCs w:val="20"/>
        </w:rPr>
        <w:t>18</w:t>
      </w:r>
      <w:r w:rsidR="006225EF">
        <w:rPr>
          <w:b/>
          <w:bCs/>
          <w:sz w:val="20"/>
          <w:szCs w:val="20"/>
        </w:rPr>
        <w:t xml:space="preserve"> </w:t>
      </w:r>
      <w:r w:rsidR="007E66E8">
        <w:rPr>
          <w:b/>
          <w:bCs/>
          <w:sz w:val="20"/>
          <w:szCs w:val="20"/>
        </w:rPr>
        <w:t>августа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367"/>
        <w:gridCol w:w="1593"/>
        <w:gridCol w:w="2234"/>
      </w:tblGrid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421D9B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421D9B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21D9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21D9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421D9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21D9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12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21D9B">
              <w:rPr>
                <w:sz w:val="20"/>
                <w:szCs w:val="20"/>
                <w:lang w:eastAsia="ru-RU"/>
              </w:rPr>
              <w:t>п</w:t>
            </w:r>
            <w:r w:rsidRPr="00421D9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С.Н.,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Поздееву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В.Л.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 xml:space="preserve">лю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 УР и Кировской области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Хайминой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Н.В. о признании права собственности на невостребованную земельную долю Князева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лю Лукина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лю Щепина В.И.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Хайминой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Н.В. о признании права собственн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к Богданову К.С. о выселении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13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21D9B">
              <w:rPr>
                <w:sz w:val="20"/>
                <w:szCs w:val="20"/>
                <w:lang w:eastAsia="ru-RU"/>
              </w:rPr>
              <w:t>п</w:t>
            </w:r>
            <w:r w:rsidRPr="00421D9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лю Баженова С.Е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1D9B">
              <w:rPr>
                <w:color w:val="0D0D0D"/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муртской Республики" к Лукину Е.В. о признании права собственности на невостребованную земельную долю Лукиной Е.М.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Г.А., Федор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ва В.В., Русских М.В., Попова Е.А.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1D9B">
              <w:rPr>
                <w:color w:val="0D0D0D"/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муртской Республики" к Непомнящей Т.В. о признании права собстве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1D9B">
              <w:rPr>
                <w:color w:val="0D0D0D"/>
                <w:sz w:val="20"/>
                <w:szCs w:val="20"/>
                <w:lang w:eastAsia="ru-RU"/>
              </w:rPr>
              <w:t>Судебное заседание по исковому заявлению Администрации муниц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color w:val="0D0D0D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муртской Республики" к МТУ </w:t>
            </w:r>
            <w:proofErr w:type="spellStart"/>
            <w:r w:rsidRPr="00421D9B">
              <w:rPr>
                <w:color w:val="0D0D0D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 в УР и Кировской области 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lastRenderedPageBreak/>
              <w:t>о признании права собственности на невостребованную земельную д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лю Белых Л.Е.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1D9B">
              <w:rPr>
                <w:color w:val="0D0D0D"/>
                <w:sz w:val="20"/>
                <w:szCs w:val="20"/>
                <w:lang w:eastAsia="ru-RU"/>
              </w:rPr>
              <w:t xml:space="preserve">Выездной прием населения членов СНТ "Светлое" по реализации 518-ФЗ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СНТ Светлое"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21D9B">
              <w:rPr>
                <w:color w:val="0D0D0D"/>
                <w:sz w:val="20"/>
                <w:szCs w:val="20"/>
                <w:lang w:eastAsia="ru-RU"/>
              </w:rPr>
              <w:t>Выездная экскурсия для членов семей погибших участников специал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421D9B">
              <w:rPr>
                <w:color w:val="0D0D0D"/>
                <w:sz w:val="20"/>
                <w:szCs w:val="20"/>
                <w:lang w:eastAsia="ru-RU"/>
              </w:rPr>
              <w:t>ной военной операции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Д.Тылыс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Юк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>менский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A6233C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5374F1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74F1" w:rsidRPr="00421D9B" w:rsidRDefault="005374F1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74F1" w:rsidRPr="00421D9B" w:rsidRDefault="005374F1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</w:t>
            </w:r>
            <w:r w:rsidR="001443EA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1443EA" w:rsidRPr="001443EA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="001443EA" w:rsidRPr="001443EA">
              <w:rPr>
                <w:sz w:val="20"/>
                <w:szCs w:val="20"/>
                <w:lang w:eastAsia="ru-RU"/>
              </w:rPr>
              <w:t>. 6909</w:t>
            </w:r>
            <w:r w:rsidR="001443E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74F1" w:rsidRPr="00421D9B" w:rsidRDefault="005374F1" w:rsidP="00421D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74F1" w:rsidRPr="00421D9B" w:rsidRDefault="005374F1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Турслет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для совета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21D9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421D9B">
              <w:rPr>
                <w:sz w:val="20"/>
                <w:szCs w:val="20"/>
                <w:lang w:eastAsia="ru-RU"/>
              </w:rPr>
              <w:t>ачкашур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Перминова С.М. к Администрации муниц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</w:t>
            </w:r>
            <w:r w:rsidRPr="00421D9B">
              <w:rPr>
                <w:sz w:val="20"/>
                <w:szCs w:val="20"/>
                <w:lang w:eastAsia="ru-RU"/>
              </w:rPr>
              <w:t>д</w:t>
            </w:r>
            <w:r w:rsidRPr="00421D9B">
              <w:rPr>
                <w:sz w:val="20"/>
                <w:szCs w:val="20"/>
                <w:lang w:eastAsia="ru-RU"/>
              </w:rPr>
              <w:t xml:space="preserve">муртской Республики" о признании </w:t>
            </w:r>
            <w:proofErr w:type="gramStart"/>
            <w:r w:rsidRPr="00421D9B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421D9B">
              <w:rPr>
                <w:sz w:val="20"/>
                <w:szCs w:val="20"/>
                <w:lang w:eastAsia="ru-RU"/>
              </w:rPr>
              <w:t xml:space="preserve"> и отмене решения об отказе в переводе земельного участка из одной категории в другую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Басалыко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В.М. к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Касимову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М.Н. о переносе границ земельного участка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E3EA8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EA8" w:rsidRPr="00421D9B" w:rsidRDefault="007E3EA8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EA8" w:rsidRPr="00421D9B" w:rsidRDefault="007E3EA8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главы района с членами семей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EA8" w:rsidRPr="00421D9B" w:rsidRDefault="00A6233C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Д.Удмурт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3EA8" w:rsidRPr="00421D9B" w:rsidRDefault="007E3EA8" w:rsidP="00A6233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</w:t>
            </w:r>
            <w:r w:rsidR="00A6233C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CF2206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206" w:rsidRPr="00A25AB3" w:rsidRDefault="00CF220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206" w:rsidRPr="00A25AB3" w:rsidRDefault="00CF2206" w:rsidP="00CF220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CF2206">
              <w:rPr>
                <w:color w:val="000000" w:themeColor="text1"/>
                <w:sz w:val="20"/>
                <w:szCs w:val="20"/>
                <w:lang w:eastAsia="ru-RU"/>
              </w:rPr>
              <w:t>Минстро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ем</w:t>
            </w:r>
            <w:r w:rsidRPr="00CF2206">
              <w:rPr>
                <w:color w:val="000000" w:themeColor="text1"/>
                <w:sz w:val="20"/>
                <w:szCs w:val="20"/>
                <w:lang w:eastAsia="ru-RU"/>
              </w:rPr>
              <w:t>УР</w:t>
            </w:r>
            <w:proofErr w:type="spellEnd"/>
            <w:r w:rsidRPr="00CF220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по теме </w:t>
            </w:r>
            <w:r w:rsidRPr="00CF2206">
              <w:rPr>
                <w:color w:val="000000" w:themeColor="text1"/>
                <w:sz w:val="20"/>
                <w:szCs w:val="20"/>
                <w:lang w:eastAsia="ru-RU"/>
              </w:rPr>
              <w:t>«Формирование комфортной городской среды» в 2024 году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CF2206">
              <w:rPr>
                <w:color w:val="000000" w:themeColor="text1"/>
                <w:sz w:val="20"/>
                <w:szCs w:val="20"/>
                <w:lang w:eastAsia="ru-RU"/>
              </w:rPr>
              <w:t>Вх.6891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206" w:rsidRPr="00A25AB3" w:rsidRDefault="00CF220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2206" w:rsidRPr="00A25AB3" w:rsidRDefault="00CF220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A25AB3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Аукцион:</w:t>
            </w:r>
            <w:r w:rsidRPr="00A25AB3">
              <w:rPr>
                <w:color w:val="000000" w:themeColor="text1"/>
              </w:rPr>
              <w:t xml:space="preserve"> 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Приобретение щебня для ремонта дорожного полотна на ул.40 лет Победы с дома 20 по дом 29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proofErr w:type="gram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онино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Аукцион:</w:t>
            </w:r>
            <w:r w:rsidRPr="00A25AB3">
              <w:rPr>
                <w:color w:val="000000" w:themeColor="text1"/>
              </w:rPr>
              <w:t xml:space="preserve"> 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Приобретение щебня для отсыпки дорожного полотна на ул. </w:t>
            </w:r>
            <w:proofErr w:type="gram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Северная</w:t>
            </w:r>
            <w:proofErr w:type="gram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деревни Митино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Приобретение щебня для отсыпки части дорожного полотна ул. </w:t>
            </w:r>
            <w:proofErr w:type="gram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Нагорная</w:t>
            </w:r>
            <w:proofErr w:type="gram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село Понино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Приобретение щебня для отсыпки части дорожного полотна ул. </w:t>
            </w:r>
            <w:proofErr w:type="gram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Садовая</w:t>
            </w:r>
            <w:proofErr w:type="gram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село Понино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Приобретение щебня для отсыпки части дорожного полотна ул. 40 лет Победы село Понино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Аукцион: Обустройство площадки для размещения биатлонного пне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матического стрельбища, расположенного на территории МУДО «СШ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района» в деревне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14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21D9B">
              <w:rPr>
                <w:sz w:val="20"/>
                <w:szCs w:val="20"/>
                <w:lang w:eastAsia="ru-RU"/>
              </w:rPr>
              <w:t>п</w:t>
            </w:r>
            <w:r w:rsidRPr="00421D9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лики" к Баженовой В.Н., Баженову Д.Н., Баженовой Н.Н. о признании права собственности на невостребованную земельную долю Баженова А.С.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>лики" к Максимову С.А. о признании права собственности на невостребова</w:t>
            </w:r>
            <w:r w:rsidRPr="00421D9B">
              <w:rPr>
                <w:sz w:val="20"/>
                <w:szCs w:val="20"/>
                <w:lang w:eastAsia="ru-RU"/>
              </w:rPr>
              <w:t>н</w:t>
            </w:r>
            <w:r w:rsidRPr="00421D9B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B0A9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Pr="00421D9B" w:rsidRDefault="007B0A93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Pr="00421D9B" w:rsidRDefault="007B0A93" w:rsidP="007B0A9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Pr="00421D9B" w:rsidRDefault="007B0A93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Pr="00421D9B" w:rsidRDefault="007B0A93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7B0A9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Default="007B0A93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Default="003E0504" w:rsidP="003E050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3E0504">
              <w:rPr>
                <w:sz w:val="20"/>
                <w:szCs w:val="20"/>
                <w:lang w:eastAsia="ru-RU"/>
              </w:rPr>
              <w:t>Формировани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3E0504">
              <w:rPr>
                <w:sz w:val="20"/>
                <w:szCs w:val="20"/>
                <w:lang w:eastAsia="ru-RU"/>
              </w:rPr>
              <w:t xml:space="preserve"> федеральных проектных команд в рамках пр</w:t>
            </w:r>
            <w:r w:rsidRPr="003E0504">
              <w:rPr>
                <w:sz w:val="20"/>
                <w:szCs w:val="20"/>
                <w:lang w:eastAsia="ru-RU"/>
              </w:rPr>
              <w:t>о</w:t>
            </w:r>
            <w:r w:rsidRPr="003E0504">
              <w:rPr>
                <w:sz w:val="20"/>
                <w:szCs w:val="20"/>
                <w:lang w:eastAsia="ru-RU"/>
              </w:rPr>
              <w:t>екта «Муниципальный диалог»</w:t>
            </w:r>
            <w:r>
              <w:rPr>
                <w:sz w:val="20"/>
                <w:szCs w:val="20"/>
                <w:lang w:eastAsia="ru-RU"/>
              </w:rPr>
              <w:t xml:space="preserve"> (вх.6879)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Default="007B0A93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Депутатская комната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0A93" w:rsidRPr="00421D9B" w:rsidRDefault="007B0A93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>лики" к Филипповой О.Б. о признании права собственности на невостребова</w:t>
            </w:r>
            <w:r w:rsidRPr="00421D9B">
              <w:rPr>
                <w:sz w:val="20"/>
                <w:szCs w:val="20"/>
                <w:lang w:eastAsia="ru-RU"/>
              </w:rPr>
              <w:t>н</w:t>
            </w:r>
            <w:r w:rsidRPr="00421D9B">
              <w:rPr>
                <w:sz w:val="20"/>
                <w:szCs w:val="20"/>
                <w:lang w:eastAsia="ru-RU"/>
              </w:rPr>
              <w:t xml:space="preserve">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Прием населения на территории МФЦ г. по вопросам реализации 518-ФЗ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мфц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Вершинина Л.С., спец</w:t>
            </w:r>
            <w:r w:rsidRPr="00421D9B">
              <w:rPr>
                <w:sz w:val="20"/>
                <w:szCs w:val="20"/>
                <w:lang w:eastAsia="ru-RU"/>
              </w:rPr>
              <w:t>и</w:t>
            </w:r>
            <w:r w:rsidRPr="00421D9B">
              <w:rPr>
                <w:sz w:val="20"/>
                <w:szCs w:val="20"/>
                <w:lang w:eastAsia="ru-RU"/>
              </w:rPr>
              <w:t xml:space="preserve">алисты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421D9B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421D9B">
              <w:rPr>
                <w:sz w:val="20"/>
                <w:szCs w:val="20"/>
                <w:lang w:eastAsia="ru-RU"/>
              </w:rPr>
              <w:t>тделов</w:t>
            </w:r>
            <w:proofErr w:type="spellEnd"/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лики" к Максимову Л.В. о признании права собственности на невостребова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н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ственности на невостребованную земельную долю Волкова М.Ф.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ственности на невостребованную земельную долю Горбушина Ю.И.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ственности на невостребованную земельную долю Карава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е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вой Г.Л.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ственности на невостребованную земельную долю Невостр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ева А.Р.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 w:rsidRPr="00421D9B">
              <w:rPr>
                <w:color w:val="1F1F1F"/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а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в УР и Кировской области о признании права со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>б</w:t>
            </w:r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ственности на невостребованную земельную долю </w:t>
            </w:r>
            <w:proofErr w:type="spellStart"/>
            <w:r w:rsidRPr="00421D9B">
              <w:rPr>
                <w:color w:val="1F1F1F"/>
                <w:sz w:val="20"/>
                <w:szCs w:val="20"/>
                <w:lang w:eastAsia="ru-RU"/>
              </w:rPr>
              <w:t>Дзюина</w:t>
            </w:r>
            <w:proofErr w:type="spellEnd"/>
            <w:r w:rsidRPr="00421D9B">
              <w:rPr>
                <w:color w:val="1F1F1F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326D0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26D0" w:rsidRPr="00421D9B" w:rsidRDefault="007326D0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326D0" w:rsidRPr="00421D9B" w:rsidRDefault="007326D0" w:rsidP="00421D9B">
            <w:pPr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 xml:space="preserve">Встреча главы района с семьями участников СВО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26D0" w:rsidRPr="00421D9B" w:rsidRDefault="007326D0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326D0" w:rsidRPr="00421D9B" w:rsidRDefault="007326D0" w:rsidP="00421D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Дзюина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A25AB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Аукцион: Оказание услуг по разработке и (или) актуализации схемы водоснабжения и водоотведения муниципального образования «Мун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ципальный округ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 Удмуртской Республики» на пер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од с 2024 по 2037 год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Ремонт части дорожного полотна на ул. Райской в поселке Дом отдыха Чепца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Ремонт части дорожного полотна на ул.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Подлесной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в деревне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Солдырь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Аукцион: Установка дополнительного уличного освещения на ул. Тр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тья, ул. Четвертая в деревне Адам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Обустройство дренажа и ремонт части дорожного полотна на ул.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Пызепской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в деревне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Солдырь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15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21D9B">
              <w:rPr>
                <w:sz w:val="20"/>
                <w:szCs w:val="20"/>
                <w:lang w:eastAsia="ru-RU"/>
              </w:rPr>
              <w:t>п</w:t>
            </w:r>
            <w:r w:rsidRPr="00421D9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Л.Г. . о признании права собственности на невостребова</w:t>
            </w:r>
            <w:r w:rsidRPr="00421D9B">
              <w:rPr>
                <w:sz w:val="20"/>
                <w:szCs w:val="20"/>
                <w:lang w:eastAsia="ru-RU"/>
              </w:rPr>
              <w:t>н</w:t>
            </w:r>
            <w:r w:rsidRPr="00421D9B">
              <w:rPr>
                <w:sz w:val="20"/>
                <w:szCs w:val="20"/>
                <w:lang w:eastAsia="ru-RU"/>
              </w:rPr>
              <w:t xml:space="preserve">ную земельную долю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оный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и Кировской области о признании права со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оный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165DE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5DE" w:rsidRDefault="00C165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5DE" w:rsidRDefault="00C165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Десятая летняя спартакиада пенсионеров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5DE" w:rsidRDefault="00C165DE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sz w:val="20"/>
                <w:szCs w:val="20"/>
                <w:lang w:eastAsia="ru-RU"/>
              </w:rPr>
              <w:t>арапул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65DE" w:rsidRDefault="00C165D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Н.А., Будин Д.Н.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Лялина В.М. к ООО "Свет", Администрации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района о возмещение материального уще</w:t>
            </w:r>
            <w:r w:rsidRPr="00421D9B">
              <w:rPr>
                <w:sz w:val="20"/>
                <w:szCs w:val="20"/>
                <w:lang w:eastAsia="ru-RU"/>
              </w:rPr>
              <w:t>р</w:t>
            </w:r>
            <w:r w:rsidRPr="00421D9B">
              <w:rPr>
                <w:sz w:val="20"/>
                <w:szCs w:val="20"/>
                <w:lang w:eastAsia="ru-RU"/>
              </w:rPr>
              <w:t xml:space="preserve">ба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оный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54FD5" w:rsidRPr="00554FD5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D5" w:rsidRPr="00554FD5" w:rsidRDefault="00554FD5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554FD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D5" w:rsidRPr="00554FD5" w:rsidRDefault="00554FD5" w:rsidP="00554FD5">
            <w:pPr>
              <w:rPr>
                <w:sz w:val="20"/>
                <w:szCs w:val="20"/>
                <w:lang w:eastAsia="ru-RU"/>
              </w:rPr>
            </w:pPr>
            <w:r w:rsidRPr="00554FD5">
              <w:rPr>
                <w:bCs/>
                <w:sz w:val="20"/>
                <w:szCs w:val="20"/>
              </w:rPr>
              <w:t>Первый муниципальный Форум Комитета Семей Воинов Отечества (вх.6700)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D5" w:rsidRPr="00554FD5" w:rsidRDefault="00554FD5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554FD5">
              <w:rPr>
                <w:sz w:val="20"/>
                <w:szCs w:val="20"/>
              </w:rPr>
              <w:t xml:space="preserve">Дом культуры с. Б. Уча, </w:t>
            </w:r>
            <w:proofErr w:type="spellStart"/>
            <w:r w:rsidRPr="00554FD5">
              <w:rPr>
                <w:sz w:val="20"/>
                <w:szCs w:val="20"/>
              </w:rPr>
              <w:t>Можги</w:t>
            </w:r>
            <w:r w:rsidRPr="00554FD5">
              <w:rPr>
                <w:sz w:val="20"/>
                <w:szCs w:val="20"/>
              </w:rPr>
              <w:t>н</w:t>
            </w:r>
            <w:r w:rsidRPr="00554FD5">
              <w:rPr>
                <w:sz w:val="20"/>
                <w:szCs w:val="20"/>
              </w:rPr>
              <w:t>ский</w:t>
            </w:r>
            <w:proofErr w:type="spellEnd"/>
            <w:r w:rsidRPr="00554FD5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FD5" w:rsidRPr="00554FD5" w:rsidRDefault="00554FD5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Судебное заседание по уголовному делу в отношении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Зарифова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Д.О., обвиняемого в совершении преступления,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предумотренного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ч. 4 ст. 159 УК РФ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оный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ВКС по № 518-ФЗ (вх.6640</w:t>
            </w:r>
            <w:r w:rsidR="009B4232">
              <w:rPr>
                <w:sz w:val="20"/>
                <w:szCs w:val="20"/>
                <w:lang w:eastAsia="ru-RU"/>
              </w:rPr>
              <w:t>, 6907</w:t>
            </w:r>
            <w:r w:rsidRPr="00421D9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</w:t>
            </w:r>
            <w:r w:rsidRPr="00421D9B">
              <w:rPr>
                <w:sz w:val="20"/>
                <w:szCs w:val="20"/>
                <w:lang w:eastAsia="ru-RU"/>
              </w:rPr>
              <w:t>а</w:t>
            </w:r>
            <w:r w:rsidRPr="00421D9B">
              <w:rPr>
                <w:sz w:val="20"/>
                <w:szCs w:val="20"/>
                <w:lang w:eastAsia="ru-RU"/>
              </w:rPr>
              <w:t xml:space="preserve">ния "Муниципальный округ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район Удмуртской Респу</w:t>
            </w:r>
            <w:r w:rsidRPr="00421D9B">
              <w:rPr>
                <w:sz w:val="20"/>
                <w:szCs w:val="20"/>
                <w:lang w:eastAsia="ru-RU"/>
              </w:rPr>
              <w:t>б</w:t>
            </w:r>
            <w:r w:rsidRPr="00421D9B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Мосовой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В.Е. о признании права собственности на невостреб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оный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Судебное заседание по иску Ивановой Л.И. о признании репрессирова</w:t>
            </w:r>
            <w:r w:rsidRPr="00421D9B">
              <w:rPr>
                <w:sz w:val="20"/>
                <w:szCs w:val="20"/>
                <w:lang w:eastAsia="ru-RU"/>
              </w:rPr>
              <w:t>н</w:t>
            </w:r>
            <w:r w:rsidRPr="00421D9B">
              <w:rPr>
                <w:sz w:val="20"/>
                <w:szCs w:val="20"/>
                <w:lang w:eastAsia="ru-RU"/>
              </w:rPr>
              <w:t>ным Иванова Е.И. и взыскании денежной компенсации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ра</w:t>
            </w:r>
            <w:r w:rsidRPr="00421D9B">
              <w:rPr>
                <w:sz w:val="20"/>
                <w:szCs w:val="20"/>
                <w:lang w:eastAsia="ru-RU"/>
              </w:rPr>
              <w:t>й</w:t>
            </w:r>
            <w:r w:rsidRPr="00421D9B">
              <w:rPr>
                <w:sz w:val="20"/>
                <w:szCs w:val="20"/>
                <w:lang w:eastAsia="ru-RU"/>
              </w:rPr>
              <w:t>оный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05A0E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</w:t>
            </w:r>
            <w:r w:rsidR="00405A0E">
              <w:rPr>
                <w:sz w:val="20"/>
                <w:szCs w:val="20"/>
                <w:lang w:eastAsia="ru-RU"/>
              </w:rPr>
              <w:t>4</w:t>
            </w:r>
            <w:r w:rsidRPr="00421D9B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ВКС комиссии Правительства Удмуртской Республики по обеспечению безопасности дорожного движения (вх.6512</w:t>
            </w:r>
            <w:r w:rsidR="00405A0E">
              <w:rPr>
                <w:sz w:val="20"/>
                <w:szCs w:val="20"/>
                <w:lang w:eastAsia="ru-RU"/>
              </w:rPr>
              <w:t>, 6936</w:t>
            </w:r>
            <w:r w:rsidRPr="00421D9B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05A0E" w:rsidP="00405A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</w:t>
            </w:r>
            <w:bookmarkStart w:id="0" w:name="_GoBack"/>
            <w:bookmarkEnd w:id="0"/>
            <w:r>
              <w:rPr>
                <w:sz w:val="20"/>
                <w:szCs w:val="20"/>
                <w:lang w:eastAsia="ru-RU"/>
              </w:rPr>
              <w:t>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Собрание с многодетными семьями по предоставлению земельных участков в соответствии с 68-РЗ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Вершинина Л.С., Ипат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ва Л.К.</w:t>
            </w:r>
          </w:p>
        </w:tc>
      </w:tr>
      <w:tr w:rsidR="00A25AB3" w:rsidRPr="00A25AB3" w:rsidTr="005374F1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Ремонт части дорожного полотна автодороги Сергеевка – СНТ Качка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21D9B">
              <w:rPr>
                <w:sz w:val="20"/>
                <w:szCs w:val="20"/>
                <w:lang w:eastAsia="ru-RU"/>
              </w:rPr>
              <w:t>п</w:t>
            </w:r>
            <w:r w:rsidRPr="00421D9B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Заседание президиума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райкома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Профсоза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АПК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101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Рябова И.А.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421D9B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421D9B">
              <w:rPr>
                <w:sz w:val="20"/>
                <w:szCs w:val="20"/>
                <w:lang w:eastAsia="ru-RU"/>
              </w:rPr>
              <w:t xml:space="preserve"> по проведению ККР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jc w:val="center"/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  <w:r w:rsidRPr="00421D9B">
              <w:rPr>
                <w:sz w:val="20"/>
                <w:szCs w:val="20"/>
                <w:lang w:eastAsia="ru-RU"/>
              </w:rPr>
              <w:t>Вершинина Л.С., Ипат</w:t>
            </w:r>
            <w:r w:rsidRPr="00421D9B">
              <w:rPr>
                <w:sz w:val="20"/>
                <w:szCs w:val="20"/>
                <w:lang w:eastAsia="ru-RU"/>
              </w:rPr>
              <w:t>о</w:t>
            </w:r>
            <w:r w:rsidRPr="00421D9B">
              <w:rPr>
                <w:sz w:val="20"/>
                <w:szCs w:val="20"/>
                <w:lang w:eastAsia="ru-RU"/>
              </w:rPr>
              <w:t>ва Л.К.</w:t>
            </w:r>
          </w:p>
        </w:tc>
      </w:tr>
      <w:tr w:rsidR="00A25AB3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Аукцион: Поставка скамеек для установки на мемориальном комплексе в д.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Омутница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A25AB3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Аукцион: Подготовка документации для постановки на государстве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ный кадастровый учет границ территориальных зон, установленных в Прав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лах землепользования и застройки муниципального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Ада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муниципального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Верхнебогатырское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муниц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муниципального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Куреговское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муниципального образования «Октябрьское», муниц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Парзинское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муниципального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нинское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муниципального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Ураковское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», мун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ципального образования «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 xml:space="preserve"> района Удмуртской Респу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5AB3" w:rsidRPr="00A25AB3" w:rsidRDefault="00A25AB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25AB3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21D9B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  <w:tr w:rsidR="00421D9B" w:rsidRPr="00421D9B" w:rsidTr="00421D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D9B" w:rsidRPr="00421D9B" w:rsidRDefault="00421D9B" w:rsidP="00421D9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21D9B" w:rsidRDefault="00421D9B">
      <w:pPr>
        <w:jc w:val="center"/>
        <w:rPr>
          <w:b/>
          <w:bCs/>
          <w:sz w:val="20"/>
          <w:szCs w:val="20"/>
        </w:rPr>
      </w:pPr>
    </w:p>
    <w:p w:rsidR="00421D9B" w:rsidRDefault="00421D9B">
      <w:pPr>
        <w:jc w:val="center"/>
        <w:rPr>
          <w:b/>
          <w:bCs/>
          <w:sz w:val="20"/>
          <w:szCs w:val="20"/>
        </w:rPr>
      </w:pPr>
    </w:p>
    <w:p w:rsidR="00421D9B" w:rsidRDefault="00421D9B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889"/>
        <w:gridCol w:w="2943"/>
        <w:gridCol w:w="2362"/>
      </w:tblGrid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C3BA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C3BA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0C3BA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C3BA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12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13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«Праздник трех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Спасов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Спортивные состязания для детей “С Днём физкул</w:t>
            </w:r>
            <w:r w:rsidRPr="000C3BA9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0C3BA9">
              <w:rPr>
                <w:color w:val="0D0D0D"/>
                <w:sz w:val="20"/>
                <w:szCs w:val="20"/>
                <w:lang w:eastAsia="ru-RU"/>
              </w:rPr>
              <w:t>турника!”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стадион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Сельский сход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C3BA9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0C3BA9">
              <w:rPr>
                <w:sz w:val="20"/>
                <w:szCs w:val="20"/>
                <w:lang w:eastAsia="ru-RU"/>
              </w:rPr>
              <w:t>удзя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у магазина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Т.Л,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14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Информационно-познавательное мероприятие к мед</w:t>
            </w:r>
            <w:r w:rsidRPr="000C3BA9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C3BA9">
              <w:rPr>
                <w:color w:val="0D0D0D"/>
                <w:sz w:val="20"/>
                <w:szCs w:val="20"/>
                <w:lang w:eastAsia="ru-RU"/>
              </w:rPr>
              <w:t>вому спасу “Интересное о меде и пчелах”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2C2F34"/>
                <w:sz w:val="20"/>
                <w:szCs w:val="20"/>
                <w:lang w:eastAsia="ru-RU"/>
              </w:rPr>
            </w:pPr>
            <w:r w:rsidRPr="000C3BA9">
              <w:rPr>
                <w:color w:val="2C2F34"/>
                <w:sz w:val="20"/>
                <w:szCs w:val="20"/>
                <w:lang w:eastAsia="ru-RU"/>
              </w:rPr>
              <w:t>Обряд “</w:t>
            </w:r>
            <w:proofErr w:type="spellStart"/>
            <w:r w:rsidRPr="000C3BA9">
              <w:rPr>
                <w:color w:val="2C2F34"/>
                <w:sz w:val="20"/>
                <w:szCs w:val="20"/>
                <w:lang w:eastAsia="ru-RU"/>
              </w:rPr>
              <w:t>Ву</w:t>
            </w:r>
            <w:proofErr w:type="spellEnd"/>
            <w:r w:rsidRPr="000C3BA9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BA9">
              <w:rPr>
                <w:color w:val="2C2F34"/>
                <w:sz w:val="20"/>
                <w:szCs w:val="20"/>
                <w:lang w:eastAsia="ru-RU"/>
              </w:rPr>
              <w:t>вылын</w:t>
            </w:r>
            <w:proofErr w:type="spellEnd"/>
            <w:r w:rsidRPr="000C3BA9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BA9">
              <w:rPr>
                <w:color w:val="2C2F34"/>
                <w:sz w:val="20"/>
                <w:szCs w:val="20"/>
                <w:lang w:eastAsia="ru-RU"/>
              </w:rPr>
              <w:t>сылон</w:t>
            </w:r>
            <w:proofErr w:type="spellEnd"/>
            <w:r w:rsidRPr="000C3BA9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0C3BA9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0C3BA9">
              <w:rPr>
                <w:color w:val="0D0D0D"/>
                <w:sz w:val="20"/>
                <w:szCs w:val="20"/>
                <w:lang w:eastAsia="ru-RU"/>
              </w:rPr>
              <w:t>ечешур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Библиотечный час “Почитаем! Поиграем” (о поэтах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сельский сход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C3BA9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0C3BA9">
              <w:rPr>
                <w:sz w:val="20"/>
                <w:szCs w:val="20"/>
                <w:lang w:eastAsia="ru-RU"/>
              </w:rPr>
              <w:t>имашур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у магазина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Турнир по волейболу и настольному теннису в рамках празднования дня деревни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Штанигурт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и 95-летия рай</w:t>
            </w:r>
            <w:r w:rsidRPr="000C3BA9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0C3BA9">
              <w:rPr>
                <w:color w:val="0D0D0D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Д.Штанигурт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>, стадион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Игра для детей “Тайны бабушкиного сундука”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Дзюина.О.Н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15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Праздник культового героя Чебурашка.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Громкие читки произведений детских писателей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2C2F34"/>
                <w:sz w:val="20"/>
                <w:szCs w:val="20"/>
                <w:lang w:eastAsia="ru-RU"/>
              </w:rPr>
            </w:pPr>
            <w:r w:rsidRPr="000C3BA9">
              <w:rPr>
                <w:color w:val="2C2F34"/>
                <w:sz w:val="20"/>
                <w:szCs w:val="20"/>
                <w:lang w:eastAsia="ru-RU"/>
              </w:rPr>
              <w:t>Познавательно развлекательная программа “А у нас нынче спас!”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Д.Слудка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C3BA9">
              <w:rPr>
                <w:sz w:val="20"/>
                <w:szCs w:val="20"/>
                <w:lang w:eastAsia="ru-RU"/>
              </w:rPr>
              <w:t>спецдом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Познавательная игра “День хороводов”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Весёлые старты “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Физкульт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привет”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Игровая программа “Время здоровья”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День физкультурника. Веселые старты, настольный теннис.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ЦСДК,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территорияДзюина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16 августа,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Спортивно-игровая программа “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ФизкультПривет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СДК, </w:t>
            </w: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приклубная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территория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Обзор книг "Новые книг</w:t>
            </w:r>
            <w:proofErr w:type="gramStart"/>
            <w:r w:rsidRPr="000C3BA9">
              <w:rPr>
                <w:sz w:val="20"/>
                <w:szCs w:val="20"/>
                <w:lang w:eastAsia="ru-RU"/>
              </w:rPr>
              <w:t>и-</w:t>
            </w:r>
            <w:proofErr w:type="gramEnd"/>
            <w:r w:rsidRPr="000C3BA9">
              <w:rPr>
                <w:sz w:val="20"/>
                <w:szCs w:val="20"/>
                <w:lang w:eastAsia="ru-RU"/>
              </w:rPr>
              <w:t xml:space="preserve"> новое чтение"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2C2F34"/>
                <w:sz w:val="20"/>
                <w:szCs w:val="20"/>
                <w:lang w:eastAsia="ru-RU"/>
              </w:rPr>
            </w:pPr>
            <w:r w:rsidRPr="000C3BA9">
              <w:rPr>
                <w:color w:val="2C2F34"/>
                <w:sz w:val="20"/>
                <w:szCs w:val="20"/>
                <w:lang w:eastAsia="ru-RU"/>
              </w:rPr>
              <w:t>Акция “</w:t>
            </w:r>
            <w:proofErr w:type="gramStart"/>
            <w:r w:rsidRPr="000C3BA9">
              <w:rPr>
                <w:color w:val="2C2F34"/>
                <w:sz w:val="20"/>
                <w:szCs w:val="20"/>
                <w:lang w:eastAsia="ru-RU"/>
              </w:rPr>
              <w:t>Российский</w:t>
            </w:r>
            <w:proofErr w:type="gramEnd"/>
            <w:r w:rsidRPr="000C3BA9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3BA9">
              <w:rPr>
                <w:color w:val="2C2F34"/>
                <w:sz w:val="20"/>
                <w:szCs w:val="20"/>
                <w:lang w:eastAsia="ru-RU"/>
              </w:rPr>
              <w:t>триколор</w:t>
            </w:r>
            <w:proofErr w:type="spellEnd"/>
            <w:r w:rsidRPr="000C3BA9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Детская дискотека “Краски лета”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Парзи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>, стадион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r w:rsidRPr="000C3B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0C3BA9">
              <w:rPr>
                <w:color w:val="0D0D0D"/>
                <w:sz w:val="20"/>
                <w:szCs w:val="20"/>
                <w:lang w:eastAsia="ru-RU"/>
              </w:rPr>
              <w:t>День деревни Васильево “Родная моя…”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0C3BA9">
              <w:rPr>
                <w:color w:val="0D0D0D"/>
                <w:sz w:val="20"/>
                <w:szCs w:val="20"/>
                <w:lang w:eastAsia="ru-RU"/>
              </w:rPr>
              <w:t xml:space="preserve"> СДК, д. Васильево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C3BA9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0C3BA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17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C3BA9">
              <w:rPr>
                <w:b/>
                <w:bCs/>
                <w:sz w:val="20"/>
                <w:szCs w:val="20"/>
                <w:u w:val="single"/>
                <w:lang w:eastAsia="ru-RU"/>
              </w:rPr>
              <w:t>18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  <w:tr w:rsidR="000C3BA9" w:rsidRPr="000C3BA9" w:rsidTr="0084259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3BA9" w:rsidRPr="000C3BA9" w:rsidRDefault="000C3BA9" w:rsidP="000C3BA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93" w:rsidRDefault="007B0A93">
      <w:r>
        <w:separator/>
      </w:r>
    </w:p>
  </w:endnote>
  <w:endnote w:type="continuationSeparator" w:id="0">
    <w:p w:rsidR="007B0A93" w:rsidRDefault="007B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93" w:rsidRDefault="007B0A93">
      <w:r>
        <w:separator/>
      </w:r>
    </w:p>
  </w:footnote>
  <w:footnote w:type="continuationSeparator" w:id="0">
    <w:p w:rsidR="007B0A93" w:rsidRDefault="007B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93" w:rsidRDefault="007B0A9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B0A93" w:rsidRDefault="007B0A9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05A0E">
                            <w:rPr>
                              <w:rStyle w:val="a3"/>
                              <w:noProof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7B0A93" w:rsidRDefault="007B0A9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05A0E">
                      <w:rPr>
                        <w:rStyle w:val="a3"/>
                        <w:noProof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93" w:rsidRDefault="007B0A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472A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BA9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443EA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17F98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96675"/>
    <w:rsid w:val="002B26CB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0504"/>
    <w:rsid w:val="003E5DAD"/>
    <w:rsid w:val="003E7FFB"/>
    <w:rsid w:val="003F3167"/>
    <w:rsid w:val="00405A0E"/>
    <w:rsid w:val="0041284C"/>
    <w:rsid w:val="00421D9B"/>
    <w:rsid w:val="004403AA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374F1"/>
    <w:rsid w:val="00545F94"/>
    <w:rsid w:val="00550BE3"/>
    <w:rsid w:val="00553E05"/>
    <w:rsid w:val="00554FD5"/>
    <w:rsid w:val="00560873"/>
    <w:rsid w:val="005675C6"/>
    <w:rsid w:val="00585C04"/>
    <w:rsid w:val="00596381"/>
    <w:rsid w:val="005A57E1"/>
    <w:rsid w:val="005B2391"/>
    <w:rsid w:val="005B7F0A"/>
    <w:rsid w:val="005C1586"/>
    <w:rsid w:val="005C425A"/>
    <w:rsid w:val="005D3E83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326D0"/>
    <w:rsid w:val="007469AD"/>
    <w:rsid w:val="00771561"/>
    <w:rsid w:val="007720A9"/>
    <w:rsid w:val="00780136"/>
    <w:rsid w:val="00792825"/>
    <w:rsid w:val="00794B92"/>
    <w:rsid w:val="007A1813"/>
    <w:rsid w:val="007B0A93"/>
    <w:rsid w:val="007B433A"/>
    <w:rsid w:val="007C6A1D"/>
    <w:rsid w:val="007D65CA"/>
    <w:rsid w:val="007E1D54"/>
    <w:rsid w:val="007E3D7F"/>
    <w:rsid w:val="007E3EA8"/>
    <w:rsid w:val="007E66E8"/>
    <w:rsid w:val="007F32CF"/>
    <w:rsid w:val="007F3957"/>
    <w:rsid w:val="007F76ED"/>
    <w:rsid w:val="00803775"/>
    <w:rsid w:val="00805BF2"/>
    <w:rsid w:val="00813137"/>
    <w:rsid w:val="0081650E"/>
    <w:rsid w:val="00817CF0"/>
    <w:rsid w:val="0082021E"/>
    <w:rsid w:val="00823F84"/>
    <w:rsid w:val="00825B1B"/>
    <w:rsid w:val="00835064"/>
    <w:rsid w:val="00835C97"/>
    <w:rsid w:val="00842590"/>
    <w:rsid w:val="008464E6"/>
    <w:rsid w:val="00855805"/>
    <w:rsid w:val="00894588"/>
    <w:rsid w:val="00895DDD"/>
    <w:rsid w:val="008A5E9B"/>
    <w:rsid w:val="008B452F"/>
    <w:rsid w:val="008E065A"/>
    <w:rsid w:val="008E6B35"/>
    <w:rsid w:val="009027A4"/>
    <w:rsid w:val="00922E38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0D4F"/>
    <w:rsid w:val="00994ECA"/>
    <w:rsid w:val="009B318A"/>
    <w:rsid w:val="009B4232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5AB3"/>
    <w:rsid w:val="00A26653"/>
    <w:rsid w:val="00A308BF"/>
    <w:rsid w:val="00A313F5"/>
    <w:rsid w:val="00A33D89"/>
    <w:rsid w:val="00A36191"/>
    <w:rsid w:val="00A37794"/>
    <w:rsid w:val="00A46568"/>
    <w:rsid w:val="00A54A6E"/>
    <w:rsid w:val="00A6233C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E6D15"/>
    <w:rsid w:val="00AF12A2"/>
    <w:rsid w:val="00AF3FE2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165DE"/>
    <w:rsid w:val="00C239CF"/>
    <w:rsid w:val="00C24786"/>
    <w:rsid w:val="00C304EF"/>
    <w:rsid w:val="00C43CC0"/>
    <w:rsid w:val="00C4772F"/>
    <w:rsid w:val="00C53068"/>
    <w:rsid w:val="00C574C9"/>
    <w:rsid w:val="00C60BB5"/>
    <w:rsid w:val="00C63FFB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CF2206"/>
    <w:rsid w:val="00D07FFC"/>
    <w:rsid w:val="00D26928"/>
    <w:rsid w:val="00D37FF2"/>
    <w:rsid w:val="00D47A5E"/>
    <w:rsid w:val="00D50417"/>
    <w:rsid w:val="00D51EE5"/>
    <w:rsid w:val="00D560E4"/>
    <w:rsid w:val="00D56E59"/>
    <w:rsid w:val="00D57A0D"/>
    <w:rsid w:val="00D60B17"/>
    <w:rsid w:val="00D648B4"/>
    <w:rsid w:val="00D6578F"/>
    <w:rsid w:val="00D65DE0"/>
    <w:rsid w:val="00D75E02"/>
    <w:rsid w:val="00D80368"/>
    <w:rsid w:val="00DB5822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25</cp:revision>
  <cp:lastPrinted>2017-04-14T18:42:00Z</cp:lastPrinted>
  <dcterms:created xsi:type="dcterms:W3CDTF">2024-06-18T14:18:00Z</dcterms:created>
  <dcterms:modified xsi:type="dcterms:W3CDTF">2024-08-15T06:25:00Z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